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4ABDF" w14:textId="77777777" w:rsidR="00F12257" w:rsidRPr="006A30F5" w:rsidRDefault="00104625" w:rsidP="00F12257">
      <w:pPr>
        <w:pBdr>
          <w:bottom w:val="dashDotStroked" w:sz="24" w:space="1" w:color="auto"/>
        </w:pBdr>
        <w:spacing w:after="0" w:line="240" w:lineRule="auto"/>
        <w:jc w:val="center"/>
        <w:rPr>
          <w:rFonts w:ascii="Cambria" w:eastAsia="Times New Roman" w:hAnsi="Cambria" w:cs="Times New Roman"/>
          <w:b/>
          <w:bCs/>
          <w:color w:val="000000"/>
          <w:sz w:val="44"/>
          <w:szCs w:val="44"/>
          <w:u w:val="single"/>
          <w:lang w:eastAsia="en-IN"/>
        </w:rPr>
      </w:pPr>
      <w:r w:rsidRPr="0062796D">
        <w:rPr>
          <w:rFonts w:ascii="Georgia" w:eastAsia="Times New Roman" w:hAnsi="Georgia" w:cs="Times New Roman"/>
          <w:b/>
          <w:bCs/>
          <w:noProof w:val="0"/>
          <w:color w:val="000000"/>
          <w:sz w:val="24"/>
          <w:szCs w:val="24"/>
          <w:lang w:eastAsia="en-IN"/>
        </w:rPr>
        <w:t xml:space="preserve">           </w:t>
      </w:r>
      <w:r w:rsidR="00F12257">
        <w:rPr>
          <w:rFonts w:ascii="Cambria" w:eastAsia="Times New Roman" w:hAnsi="Cambria" w:cs="Times New Roman"/>
          <w:b/>
          <w:bCs/>
          <w:color w:val="000000"/>
          <w:sz w:val="44"/>
          <w:szCs w:val="44"/>
          <w:u w:val="single"/>
          <w:lang w:eastAsia="en-IN"/>
        </w:rPr>
        <w:t>WEL-</w:t>
      </w:r>
      <w:r w:rsidR="00F12257" w:rsidRPr="006A30F5">
        <w:rPr>
          <w:rFonts w:ascii="Cambria" w:eastAsia="Times New Roman" w:hAnsi="Cambria" w:cs="Times New Roman"/>
          <w:b/>
          <w:bCs/>
          <w:color w:val="000000"/>
          <w:sz w:val="44"/>
          <w:szCs w:val="44"/>
          <w:u w:val="single"/>
          <w:lang w:eastAsia="en-IN"/>
        </w:rPr>
        <w:t>COME</w:t>
      </w:r>
    </w:p>
    <w:p w14:paraId="6F9A9429" w14:textId="1832DF5C" w:rsidR="00F12257" w:rsidRDefault="00F12257" w:rsidP="00F12257">
      <w:pPr>
        <w:pBdr>
          <w:bottom w:val="dashDotStroked" w:sz="24" w:space="1" w:color="auto"/>
        </w:pBdr>
        <w:spacing w:after="0" w:line="240" w:lineRule="auto"/>
        <w:jc w:val="center"/>
        <w:rPr>
          <w:rFonts w:ascii="Cambria" w:eastAsia="Times New Roman" w:hAnsi="Cambria" w:cs="Times New Roman"/>
          <w:b/>
          <w:bCs/>
          <w:color w:val="000000"/>
          <w:sz w:val="44"/>
          <w:szCs w:val="44"/>
          <w:lang w:eastAsia="en-IN"/>
        </w:rPr>
      </w:pPr>
      <w:r w:rsidRPr="006A30F5">
        <w:rPr>
          <w:rFonts w:ascii="Cambria" w:eastAsia="Times New Roman" w:hAnsi="Cambria" w:cs="Times New Roman"/>
          <w:b/>
          <w:bCs/>
          <w:color w:val="000000"/>
          <w:sz w:val="44"/>
          <w:szCs w:val="44"/>
          <w:u w:val="single"/>
          <w:lang w:eastAsia="en-IN"/>
        </w:rPr>
        <w:t xml:space="preserve"> </w:t>
      </w:r>
      <w:r>
        <w:rPr>
          <w:rFonts w:ascii="Cambria" w:eastAsia="Times New Roman" w:hAnsi="Cambria" w:cs="Times New Roman"/>
          <w:b/>
          <w:bCs/>
          <w:color w:val="000000"/>
          <w:sz w:val="44"/>
          <w:szCs w:val="44"/>
          <w:lang w:eastAsia="en-IN"/>
        </w:rPr>
        <w:t>CLASS-B.COM-PART-I</w:t>
      </w:r>
    </w:p>
    <w:p w14:paraId="1946CD39" w14:textId="6BD543E5" w:rsidR="009B01C3" w:rsidRPr="00F12257" w:rsidRDefault="00104625" w:rsidP="00F12257">
      <w:pPr>
        <w:spacing w:after="0" w:line="240" w:lineRule="auto"/>
        <w:jc w:val="center"/>
        <w:rPr>
          <w:rFonts w:ascii="Cambria" w:eastAsia="Times New Roman" w:hAnsi="Cambria" w:cs="Times New Roman"/>
          <w:b/>
          <w:bCs/>
          <w:color w:val="000000"/>
          <w:sz w:val="44"/>
          <w:szCs w:val="44"/>
          <w:lang w:eastAsia="en-IN"/>
        </w:rPr>
      </w:pPr>
      <w:r w:rsidRPr="0062796D">
        <w:rPr>
          <w:rFonts w:ascii="Georgia" w:eastAsia="Times New Roman" w:hAnsi="Georgia" w:cs="Times New Roman"/>
          <w:b/>
          <w:bCs/>
          <w:noProof w:val="0"/>
          <w:color w:val="000000"/>
          <w:sz w:val="24"/>
          <w:szCs w:val="24"/>
          <w:lang w:eastAsia="en-IN"/>
        </w:rPr>
        <w:t xml:space="preserve"> </w:t>
      </w:r>
      <w:r w:rsidR="009B01C3" w:rsidRPr="0062796D">
        <w:rPr>
          <w:rFonts w:ascii="Georgia" w:eastAsia="Times New Roman" w:hAnsi="Georgia" w:cs="Times New Roman"/>
          <w:b/>
          <w:bCs/>
          <w:noProof w:val="0"/>
          <w:color w:val="000000"/>
          <w:sz w:val="24"/>
          <w:szCs w:val="24"/>
          <w:lang w:eastAsia="en-IN"/>
        </w:rPr>
        <w:t>FINANCIAL REPORTING REFORMS IN THE INSTITUTIONS OF</w:t>
      </w:r>
    </w:p>
    <w:p w14:paraId="4C3BC01A" w14:textId="77777777" w:rsidR="009B01C3" w:rsidRPr="0062796D" w:rsidRDefault="009B01C3" w:rsidP="009B01C3">
      <w:pPr>
        <w:spacing w:before="9" w:after="0" w:line="167" w:lineRule="atLeast"/>
        <w:jc w:val="center"/>
        <w:rPr>
          <w:rFonts w:ascii="Georgia" w:eastAsia="Times New Roman" w:hAnsi="Georgia" w:cs="Times New Roman"/>
          <w:b/>
          <w:bCs/>
          <w:noProof w:val="0"/>
          <w:color w:val="000000"/>
          <w:sz w:val="24"/>
          <w:szCs w:val="24"/>
          <w:lang w:eastAsia="en-IN"/>
        </w:rPr>
      </w:pPr>
      <w:r w:rsidRPr="0062796D">
        <w:rPr>
          <w:rFonts w:ascii="Georgia" w:eastAsia="Times New Roman" w:hAnsi="Georgia" w:cs="Times New Roman"/>
          <w:b/>
          <w:bCs/>
          <w:noProof w:val="0"/>
          <w:color w:val="000000"/>
          <w:sz w:val="24"/>
          <w:szCs w:val="24"/>
          <w:lang w:eastAsia="en-IN"/>
        </w:rPr>
        <w:t>HIGHER EDUCATION IN INDIA</w:t>
      </w:r>
    </w:p>
    <w:p w14:paraId="089AB9F5" w14:textId="77777777" w:rsidR="00F12257" w:rsidRPr="00401E69" w:rsidRDefault="00F12257" w:rsidP="00F12257">
      <w:pPr>
        <w:pStyle w:val="ListParagraph"/>
        <w:adjustRightInd w:val="0"/>
        <w:spacing w:after="0" w:line="240" w:lineRule="auto"/>
        <w:jc w:val="right"/>
        <w:rPr>
          <w:rFonts w:ascii="Times New Roman" w:hAnsi="Times New Roman" w:cs="Times New Roman"/>
          <w:b/>
          <w:bCs/>
          <w:sz w:val="28"/>
          <w:szCs w:val="28"/>
        </w:rPr>
      </w:pPr>
      <w:proofErr w:type="spellStart"/>
      <w:r w:rsidRPr="00401E69">
        <w:rPr>
          <w:rFonts w:ascii="Times New Roman" w:hAnsi="Times New Roman" w:cs="Times New Roman"/>
          <w:b/>
          <w:bCs/>
          <w:sz w:val="28"/>
          <w:szCs w:val="28"/>
        </w:rPr>
        <w:t>Dr.</w:t>
      </w:r>
      <w:proofErr w:type="spellEnd"/>
      <w:r w:rsidRPr="00401E69">
        <w:rPr>
          <w:rFonts w:ascii="Times New Roman" w:hAnsi="Times New Roman" w:cs="Times New Roman"/>
          <w:b/>
          <w:bCs/>
          <w:sz w:val="28"/>
          <w:szCs w:val="28"/>
        </w:rPr>
        <w:t xml:space="preserve"> </w:t>
      </w:r>
      <w:proofErr w:type="spellStart"/>
      <w:r w:rsidRPr="00401E69">
        <w:rPr>
          <w:rFonts w:ascii="Times New Roman" w:hAnsi="Times New Roman" w:cs="Times New Roman"/>
          <w:b/>
          <w:bCs/>
          <w:sz w:val="28"/>
          <w:szCs w:val="28"/>
        </w:rPr>
        <w:t>Bachha</w:t>
      </w:r>
      <w:proofErr w:type="spellEnd"/>
      <w:r w:rsidRPr="00401E69">
        <w:rPr>
          <w:rFonts w:ascii="Times New Roman" w:hAnsi="Times New Roman" w:cs="Times New Roman"/>
          <w:b/>
          <w:bCs/>
          <w:sz w:val="28"/>
          <w:szCs w:val="28"/>
        </w:rPr>
        <w:t xml:space="preserve"> Kumar </w:t>
      </w:r>
      <w:proofErr w:type="spellStart"/>
      <w:r w:rsidRPr="00401E69">
        <w:rPr>
          <w:rFonts w:ascii="Times New Roman" w:hAnsi="Times New Roman" w:cs="Times New Roman"/>
          <w:b/>
          <w:bCs/>
          <w:sz w:val="28"/>
          <w:szCs w:val="28"/>
        </w:rPr>
        <w:t>Rajak</w:t>
      </w:r>
      <w:proofErr w:type="spellEnd"/>
    </w:p>
    <w:p w14:paraId="32DCA254" w14:textId="77777777" w:rsidR="00F12257" w:rsidRDefault="00F12257" w:rsidP="00F12257">
      <w:pPr>
        <w:adjustRightInd w:val="0"/>
        <w:spacing w:after="0" w:line="240" w:lineRule="auto"/>
        <w:ind w:left="360"/>
        <w:jc w:val="right"/>
        <w:rPr>
          <w:rFonts w:ascii="Times New Roman" w:hAnsi="Times New Roman" w:cs="Times New Roman"/>
          <w:sz w:val="28"/>
          <w:szCs w:val="28"/>
        </w:rPr>
      </w:pPr>
      <w:r>
        <w:rPr>
          <w:rFonts w:ascii="Times New Roman" w:hAnsi="Times New Roman" w:cs="Times New Roman"/>
          <w:b/>
          <w:bCs/>
          <w:sz w:val="24"/>
          <w:szCs w:val="24"/>
        </w:rPr>
        <w:t>Assistant Professor (GT)</w:t>
      </w:r>
    </w:p>
    <w:p w14:paraId="554C3E71" w14:textId="77777777" w:rsidR="00F12257" w:rsidRPr="00401E69" w:rsidRDefault="00F12257" w:rsidP="00F12257">
      <w:pPr>
        <w:adjustRightInd w:val="0"/>
        <w:spacing w:after="0" w:line="240" w:lineRule="auto"/>
        <w:ind w:left="360"/>
        <w:jc w:val="right"/>
        <w:rPr>
          <w:rFonts w:ascii="Times New Roman" w:hAnsi="Times New Roman" w:cs="Times New Roman"/>
          <w:b/>
          <w:bCs/>
          <w:sz w:val="28"/>
          <w:szCs w:val="28"/>
        </w:rPr>
      </w:pPr>
      <w:r w:rsidRPr="00401E69">
        <w:rPr>
          <w:rFonts w:ascii="Times New Roman" w:hAnsi="Times New Roman" w:cs="Times New Roman"/>
          <w:sz w:val="28"/>
          <w:szCs w:val="28"/>
        </w:rPr>
        <w:t>Department of Commerce</w:t>
      </w:r>
    </w:p>
    <w:p w14:paraId="69044B4B" w14:textId="77777777" w:rsidR="00F12257" w:rsidRPr="00401E69" w:rsidRDefault="00F12257" w:rsidP="00F12257">
      <w:pPr>
        <w:adjustRightInd w:val="0"/>
        <w:spacing w:after="0" w:line="240" w:lineRule="auto"/>
        <w:ind w:left="360"/>
        <w:jc w:val="right"/>
        <w:rPr>
          <w:rFonts w:ascii="Times New Roman" w:hAnsi="Times New Roman" w:cs="Times New Roman"/>
          <w:b/>
          <w:bCs/>
          <w:sz w:val="28"/>
          <w:szCs w:val="28"/>
        </w:rPr>
      </w:pPr>
      <w:r w:rsidRPr="00401E69">
        <w:rPr>
          <w:rFonts w:ascii="Times New Roman" w:hAnsi="Times New Roman" w:cs="Times New Roman"/>
          <w:sz w:val="24"/>
          <w:szCs w:val="24"/>
        </w:rPr>
        <w:t>Bharati Mandan College ,Rahika</w:t>
      </w:r>
    </w:p>
    <w:p w14:paraId="64C958B5" w14:textId="77777777" w:rsidR="00F12257" w:rsidRPr="00401E69" w:rsidRDefault="00F12257" w:rsidP="00F12257">
      <w:pPr>
        <w:widowControl w:val="0"/>
        <w:autoSpaceDE w:val="0"/>
        <w:autoSpaceDN w:val="0"/>
        <w:adjustRightInd w:val="0"/>
        <w:spacing w:after="0" w:line="240" w:lineRule="auto"/>
        <w:ind w:left="360"/>
        <w:jc w:val="right"/>
        <w:rPr>
          <w:rFonts w:ascii="Times New Roman" w:hAnsi="Times New Roman" w:cs="Times New Roman"/>
          <w:sz w:val="24"/>
          <w:szCs w:val="24"/>
        </w:rPr>
      </w:pPr>
      <w:r w:rsidRPr="00401E69">
        <w:rPr>
          <w:rFonts w:ascii="Times New Roman" w:hAnsi="Times New Roman" w:cs="Times New Roman"/>
          <w:sz w:val="24"/>
          <w:szCs w:val="24"/>
        </w:rPr>
        <w:t>L.N.M.U., DARBHANGA (BIHAR) INDIA)</w:t>
      </w:r>
    </w:p>
    <w:p w14:paraId="1B5CF724" w14:textId="77777777" w:rsidR="00F12257" w:rsidRPr="00401E69" w:rsidRDefault="00F12257" w:rsidP="00F12257">
      <w:pPr>
        <w:spacing w:after="0" w:line="240" w:lineRule="auto"/>
        <w:ind w:left="360"/>
        <w:jc w:val="right"/>
        <w:rPr>
          <w:rFonts w:ascii="Times New Roman" w:eastAsia="Times New Roman" w:hAnsi="Times New Roman" w:cs="Times New Roman"/>
          <w:b/>
          <w:bCs/>
          <w:color w:val="000000"/>
          <w:sz w:val="20"/>
        </w:rPr>
      </w:pPr>
      <w:r w:rsidRPr="00401E69">
        <w:rPr>
          <w:rFonts w:ascii="Times New Roman" w:eastAsia="Times New Roman" w:hAnsi="Times New Roman" w:cs="Times New Roman"/>
          <w:b/>
          <w:bCs/>
          <w:color w:val="000000"/>
          <w:sz w:val="20"/>
        </w:rPr>
        <w:t>Email:-bachharajak@gmail.com</w:t>
      </w:r>
    </w:p>
    <w:p w14:paraId="5881DC52" w14:textId="77777777" w:rsidR="00F12257" w:rsidRPr="00401E69" w:rsidRDefault="00F12257" w:rsidP="00F12257">
      <w:pPr>
        <w:spacing w:after="0" w:line="240" w:lineRule="auto"/>
        <w:ind w:left="360"/>
        <w:jc w:val="right"/>
        <w:rPr>
          <w:rFonts w:ascii="Times New Roman" w:eastAsia="Times New Roman" w:hAnsi="Times New Roman" w:cs="Times New Roman"/>
          <w:b/>
          <w:bCs/>
          <w:color w:val="000000"/>
          <w:sz w:val="20"/>
        </w:rPr>
      </w:pPr>
      <w:r w:rsidRPr="00401E69">
        <w:rPr>
          <w:rFonts w:ascii="Times New Roman" w:eastAsia="Times New Roman" w:hAnsi="Times New Roman" w:cs="Times New Roman"/>
          <w:b/>
          <w:bCs/>
          <w:color w:val="000000"/>
          <w:sz w:val="20"/>
        </w:rPr>
        <w:t>Mobail:-9931663751,9431018858</w:t>
      </w:r>
    </w:p>
    <w:p w14:paraId="51E4BDCC" w14:textId="6886A059" w:rsidR="009B01C3" w:rsidRPr="0062796D" w:rsidRDefault="009B01C3" w:rsidP="00F05016">
      <w:pPr>
        <w:adjustRightInd w:val="0"/>
        <w:spacing w:after="0" w:line="240" w:lineRule="auto"/>
        <w:rPr>
          <w:b/>
          <w:bCs/>
          <w:sz w:val="24"/>
          <w:szCs w:val="24"/>
        </w:rPr>
      </w:pPr>
      <w:r w:rsidRPr="0062796D">
        <w:rPr>
          <w:rFonts w:ascii="Arial" w:eastAsia="Times New Roman" w:hAnsi="Arial" w:cs="Arial"/>
          <w:b/>
          <w:bCs/>
          <w:noProof w:val="0"/>
          <w:color w:val="000000"/>
          <w:sz w:val="24"/>
          <w:szCs w:val="24"/>
          <w:lang w:eastAsia="en-IN"/>
        </w:rPr>
        <w:t>ABSTRACT</w:t>
      </w:r>
    </w:p>
    <w:p w14:paraId="4F522E0C" w14:textId="77777777" w:rsidR="009B01C3" w:rsidRPr="0062796D" w:rsidRDefault="009B01C3" w:rsidP="009B01C3">
      <w:pPr>
        <w:spacing w:before="102" w:after="0" w:line="139"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Purpose: The present research paper, with conceptual/theoretical approach, is an attempt to comprehend the accounting reforms undertaken by the Government of India in the Government institutions of Higher Education (GIHE).</w:t>
      </w:r>
    </w:p>
    <w:p w14:paraId="1EBD74A1" w14:textId="77777777" w:rsidR="009B01C3" w:rsidRPr="0062796D" w:rsidRDefault="009B01C3" w:rsidP="009B01C3">
      <w:pPr>
        <w:spacing w:after="0"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Design/Methodology: The first part of this paper deals with the initial reforms undertaken by the Government of India in the beginning of new millennium. Such reforms were made applicable to all autonomous bodies of Government of India (GAB) uniformly. The second part of this paper explains how the initial reformatory measures could not address the specific requirements of the Government institutions of higher education, because of their distinctive features vis-à-vis the other Government autonomous bodies. The third part of this paper examines the next phase of reforms introduced by the Government of India, which were fully oriented towards the specific requirements of the GIHE.</w:t>
      </w:r>
    </w:p>
    <w:p w14:paraId="652FF809" w14:textId="77777777" w:rsidR="009B01C3" w:rsidRPr="0062796D" w:rsidRDefault="009B01C3" w:rsidP="009B01C3">
      <w:pPr>
        <w:spacing w:before="28" w:after="0"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 xml:space="preserve">Findings: During the past one decade there is paradigm shift the way Governments accounts are looked at. The accounting in Government institutions in India, now, is no more perceived merely as a tool for recording the actual cash received and disbursements made. A well-structured financial statements and reports, based on widely accepted accounting principles and standards, are an important aid to the Government and other stakeholders to gauge financial state of affairs of the organization and in framing strategic policies and plans for future. </w:t>
      </w:r>
      <w:proofErr w:type="gramStart"/>
      <w:r w:rsidRPr="0062796D">
        <w:rPr>
          <w:rFonts w:ascii="Arial" w:eastAsia="Times New Roman" w:hAnsi="Arial" w:cs="Arial"/>
          <w:noProof w:val="0"/>
          <w:color w:val="000000"/>
          <w:sz w:val="24"/>
          <w:szCs w:val="24"/>
          <w:lang w:eastAsia="en-IN"/>
        </w:rPr>
        <w:t>The Uniform Financial accounting and reporting standard notified by the Government found to be fully aligned with the specific needs of the institutions except in the treatment of assets created out of sponsored projects and the compliance of AS 15 (ICAI).</w:t>
      </w:r>
      <w:proofErr w:type="gramEnd"/>
    </w:p>
    <w:p w14:paraId="7C4B7045" w14:textId="77777777" w:rsidR="009B01C3" w:rsidRPr="0062796D" w:rsidRDefault="009B01C3" w:rsidP="009B01C3">
      <w:pPr>
        <w:spacing w:before="28" w:after="0" w:line="139"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Practical Implication</w:t>
      </w:r>
      <w:r w:rsidRPr="0062796D">
        <w:rPr>
          <w:rFonts w:ascii="Arial Bold" w:eastAsia="Times New Roman" w:hAnsi="Arial Bold" w:cs="Arial"/>
          <w:noProof w:val="0"/>
          <w:color w:val="000000"/>
          <w:sz w:val="24"/>
          <w:szCs w:val="24"/>
          <w:lang w:eastAsia="en-IN"/>
        </w:rPr>
        <w:t>: </w:t>
      </w:r>
      <w:r w:rsidRPr="0062796D">
        <w:rPr>
          <w:rFonts w:ascii="Arial" w:eastAsia="Times New Roman" w:hAnsi="Arial" w:cs="Arial"/>
          <w:noProof w:val="0"/>
          <w:color w:val="000000"/>
          <w:sz w:val="24"/>
          <w:szCs w:val="24"/>
          <w:lang w:eastAsia="en-IN"/>
        </w:rPr>
        <w:t>The identified issues and the suggestions incorporated in the paper is expected to help proper recognition and measurement of the economic costs and benefits arising out of assets created from sponsored projects as well as expenditure on retirement benefits.</w:t>
      </w:r>
    </w:p>
    <w:p w14:paraId="751F02B2" w14:textId="77777777" w:rsidR="009B01C3" w:rsidRPr="0062796D" w:rsidRDefault="009B01C3" w:rsidP="009B01C3">
      <w:pPr>
        <w:spacing w:before="111" w:after="0" w:line="139" w:lineRule="atLeast"/>
        <w:rPr>
          <w:rFonts w:ascii="Arial" w:eastAsia="Times New Roman" w:hAnsi="Arial" w:cs="Arial"/>
          <w:i/>
          <w:iCs/>
          <w:noProof w:val="0"/>
          <w:color w:val="000000"/>
          <w:sz w:val="24"/>
          <w:szCs w:val="24"/>
          <w:lang w:eastAsia="en-IN"/>
        </w:rPr>
      </w:pPr>
      <w:r w:rsidRPr="0062796D">
        <w:rPr>
          <w:rFonts w:ascii="Arial Bold" w:eastAsia="Times New Roman" w:hAnsi="Arial Bold" w:cs="Arial"/>
          <w:noProof w:val="0"/>
          <w:color w:val="000000"/>
          <w:sz w:val="24"/>
          <w:szCs w:val="24"/>
          <w:lang w:eastAsia="en-IN"/>
        </w:rPr>
        <w:t>KEYWORDS: </w:t>
      </w:r>
      <w:r w:rsidRPr="0062796D">
        <w:rPr>
          <w:rFonts w:ascii="Arial" w:eastAsia="Times New Roman" w:hAnsi="Arial" w:cs="Arial"/>
          <w:noProof w:val="0"/>
          <w:color w:val="000000"/>
          <w:sz w:val="24"/>
          <w:szCs w:val="24"/>
          <w:lang w:eastAsia="en-IN"/>
        </w:rPr>
        <w:t>Financial Reporting, Reforms in Accounting and Financial Reporting.</w:t>
      </w:r>
    </w:p>
    <w:p w14:paraId="41B75BC7" w14:textId="77777777" w:rsidR="009B01C3" w:rsidRPr="0062796D" w:rsidRDefault="009B01C3" w:rsidP="009B01C3">
      <w:pPr>
        <w:spacing w:before="19" w:after="0" w:line="139" w:lineRule="atLeast"/>
        <w:rPr>
          <w:rFonts w:ascii="Arial Bold" w:eastAsia="Times New Roman" w:hAnsi="Arial Bold" w:cs="Times New Roman"/>
          <w:b/>
          <w:bCs/>
          <w:i/>
          <w:iCs/>
          <w:noProof w:val="0"/>
          <w:color w:val="000000"/>
          <w:sz w:val="24"/>
          <w:szCs w:val="24"/>
          <w:lang w:eastAsia="en-IN"/>
        </w:rPr>
      </w:pPr>
      <w:r w:rsidRPr="0062796D">
        <w:rPr>
          <w:rFonts w:ascii="Arial Bold" w:eastAsia="Times New Roman" w:hAnsi="Arial Bold" w:cs="Times New Roman"/>
          <w:b/>
          <w:bCs/>
          <w:i/>
          <w:iCs/>
          <w:noProof w:val="0"/>
          <w:color w:val="000000"/>
          <w:sz w:val="24"/>
          <w:szCs w:val="24"/>
          <w:lang w:eastAsia="en-IN"/>
        </w:rPr>
        <w:t>_______________</w:t>
      </w:r>
    </w:p>
    <w:p w14:paraId="3248B789" w14:textId="77777777" w:rsidR="009B01C3" w:rsidRPr="0062796D" w:rsidRDefault="009B01C3" w:rsidP="009B01C3">
      <w:pPr>
        <w:spacing w:before="28" w:after="0" w:line="139" w:lineRule="atLeast"/>
        <w:rPr>
          <w:rFonts w:ascii="Arial" w:eastAsia="Times New Roman" w:hAnsi="Arial" w:cs="Arial"/>
          <w:b/>
          <w:bCs/>
          <w:noProof w:val="0"/>
          <w:color w:val="000000"/>
          <w:sz w:val="24"/>
          <w:szCs w:val="24"/>
          <w:lang w:eastAsia="en-IN"/>
        </w:rPr>
      </w:pPr>
      <w:r w:rsidRPr="0062796D">
        <w:rPr>
          <w:rFonts w:ascii="Arial" w:eastAsia="Times New Roman" w:hAnsi="Arial" w:cs="Arial"/>
          <w:b/>
          <w:bCs/>
          <w:noProof w:val="0"/>
          <w:color w:val="000000"/>
          <w:sz w:val="24"/>
          <w:szCs w:val="24"/>
          <w:lang w:eastAsia="en-IN"/>
        </w:rPr>
        <w:t>Introduction</w:t>
      </w:r>
    </w:p>
    <w:p w14:paraId="5BB698E2" w14:textId="24859C76" w:rsidR="009B01C3" w:rsidRPr="0062796D" w:rsidRDefault="009B01C3" w:rsidP="0062796D">
      <w:pPr>
        <w:spacing w:before="28" w:after="0"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 xml:space="preserve">As a part of Public Financial Management, the need of reforms in Government Accounting and financial reporting (especially in Government autonomous bodies) has attained the special focus of the Government for quite some time in the recent past. Prior to the year 2002, most of the Government autonomous bodies had been following cash basis - single entry accounting system. The financial statements of </w:t>
      </w:r>
      <w:r w:rsidRPr="0062796D">
        <w:rPr>
          <w:rFonts w:ascii="Arial" w:eastAsia="Times New Roman" w:hAnsi="Arial" w:cs="Arial"/>
          <w:noProof w:val="0"/>
          <w:color w:val="000000"/>
          <w:sz w:val="24"/>
          <w:szCs w:val="24"/>
          <w:lang w:eastAsia="en-IN"/>
        </w:rPr>
        <w:lastRenderedPageBreak/>
        <w:t>such autonomous bodies primarily reflected the total receipts and payments made during the period of a given financial year. Some of the organization also prepared income and expenditure account and a Balance Sheet. There was no uniformity in the formats and presentation of accounts of these bodies. The preparation of accounts primarily oriented towards the budgeting process of the institution. The Statements of annual accounts were presented in the shape of actual receipts and payments in reference to budgeted figures. Such statements did not provide adequate details concerning the overall financial health of the entity. Under this system, assets of the organization, it’s written down value after providing for the depreciation, liabilities of the organization, income and expenditure accrued as distinct from actual receipt and payment did not find a mention in the financial statements. Recognizing the need to remove these inadequacies and keeping in view the global reforms taking place</w:t>
      </w:r>
      <w:r w:rsidR="0062796D">
        <w:rPr>
          <w:rFonts w:ascii="Arial" w:eastAsia="Times New Roman" w:hAnsi="Arial" w:cs="Arial"/>
          <w:noProof w:val="0"/>
          <w:color w:val="000000"/>
          <w:sz w:val="24"/>
          <w:szCs w:val="24"/>
          <w:lang w:eastAsia="en-IN"/>
        </w:rPr>
        <w:t xml:space="preserve"> </w:t>
      </w:r>
      <w:r w:rsidRPr="0062796D">
        <w:rPr>
          <w:rFonts w:ascii="Arial" w:eastAsia="Times New Roman" w:hAnsi="Arial" w:cs="Arial"/>
          <w:noProof w:val="0"/>
          <w:color w:val="000000"/>
          <w:sz w:val="24"/>
          <w:szCs w:val="24"/>
          <w:lang w:eastAsia="en-IN"/>
        </w:rPr>
        <w:t>in the government accounting, there is paradigm shift, the way Governments accounts are looked at. Now, the accounting in Government sector in India is no more perceived merely as a tool for recording the actual cash received and disbursement made. A well-structured financial statements and reports, based on widely accepted accounting principles and standards, are an important aid to the Government and other stakeholders to gauge financial state of affairs of the organization. It also helps the Government in framing strategic policies and plans for future. The reformative steps taken by the Government in this direction are clearly manifested in various policies such as Government Accounting Rules, 1990, The Financial Responsibility and Budget Management Act, 2003 (FBRM) read with General Financial Rules, 2005 (GFR), Indian Government Accounting Standards (IGAS), Outcome Budget to name a few.</w:t>
      </w:r>
    </w:p>
    <w:p w14:paraId="07140E84" w14:textId="77777777" w:rsidR="009B01C3" w:rsidRPr="0062796D" w:rsidRDefault="009B01C3" w:rsidP="009B01C3">
      <w:pPr>
        <w:spacing w:before="65" w:after="0" w:line="139" w:lineRule="atLeast"/>
        <w:rPr>
          <w:rFonts w:ascii="Arial" w:eastAsia="Times New Roman" w:hAnsi="Arial" w:cs="Arial"/>
          <w:b/>
          <w:bCs/>
          <w:noProof w:val="0"/>
          <w:color w:val="000000"/>
          <w:sz w:val="24"/>
          <w:szCs w:val="24"/>
          <w:lang w:eastAsia="en-IN"/>
        </w:rPr>
      </w:pPr>
      <w:r w:rsidRPr="0062796D">
        <w:rPr>
          <w:rFonts w:ascii="Arial" w:eastAsia="Times New Roman" w:hAnsi="Arial" w:cs="Arial"/>
          <w:b/>
          <w:bCs/>
          <w:noProof w:val="0"/>
          <w:color w:val="000000"/>
          <w:sz w:val="24"/>
          <w:szCs w:val="24"/>
          <w:lang w:eastAsia="en-IN"/>
        </w:rPr>
        <w:t>Initial Reforms</w:t>
      </w:r>
    </w:p>
    <w:p w14:paraId="277D8D76" w14:textId="77777777" w:rsidR="009B01C3" w:rsidRPr="0062796D" w:rsidRDefault="009B01C3" w:rsidP="009B01C3">
      <w:pPr>
        <w:spacing w:after="0"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With a mission to bring reforms in the accounting of these bodies and to ensure uniformity and transparency in the presentation of accounts, the Central Government constituted an expert committee headed by Controller General of Accounts (CGA) to devise standard formats of accounts. The committee submitted its report dated Feb 2nd, 2001, wherein, standard format of accounts consisting of Statement of receipts and Payments, Income and expenditure account, Balance Sheet and schedules with significant accounting policies and notes to the accounts forming integral part of the financial statements. The Central Government accepted the report and made it mandatory for all the Central autonomous bodies to prepare its account on the standard formats with effect from April 2001. The common formats of account were also notified by the Ministry of Human resource development on 18thFebruary 2002 for implementation by all the Central universities and other institutions of higher education under the purview of the Ministry. These common formats of accounts could not serve the purpose of educational institutions as these were not devised keeping in view the specific nature of activities and the financial practices prevailing in most of the government institutions.</w:t>
      </w:r>
    </w:p>
    <w:p w14:paraId="16A8A17D" w14:textId="77777777" w:rsidR="009B01C3" w:rsidRPr="0062796D" w:rsidRDefault="009B01C3" w:rsidP="009B01C3">
      <w:pPr>
        <w:spacing w:before="37" w:after="0" w:line="139" w:lineRule="atLeast"/>
        <w:rPr>
          <w:rFonts w:ascii="Arial" w:eastAsia="Times New Roman" w:hAnsi="Arial" w:cs="Arial"/>
          <w:b/>
          <w:bCs/>
          <w:noProof w:val="0"/>
          <w:color w:val="000000"/>
          <w:sz w:val="24"/>
          <w:szCs w:val="24"/>
          <w:lang w:eastAsia="en-IN"/>
        </w:rPr>
      </w:pPr>
      <w:r w:rsidRPr="0062796D">
        <w:rPr>
          <w:rFonts w:ascii="Arial" w:eastAsia="Times New Roman" w:hAnsi="Arial" w:cs="Arial"/>
          <w:b/>
          <w:bCs/>
          <w:noProof w:val="0"/>
          <w:color w:val="000000"/>
          <w:sz w:val="24"/>
          <w:szCs w:val="24"/>
          <w:lang w:eastAsia="en-IN"/>
        </w:rPr>
        <w:t>Distinctive Feature of Government Institutions of Higher Education</w:t>
      </w:r>
    </w:p>
    <w:p w14:paraId="5E480609" w14:textId="77777777" w:rsidR="009B01C3" w:rsidRDefault="009B01C3" w:rsidP="009B01C3">
      <w:pPr>
        <w:spacing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Unlike most of the Government Autonomous Bodies, the profit is not the objective of Government educational institutions. It is not that all the institutions of higher Education in India are in public sector. There are considerable numbers of institutions of higher education in private sector also.1According to the All India Survey on Higher education (AISHE) for the year 2015-16 issued by the MHRD, there are 799 universities, 39,071 colleges and 11,923 stand-alone institutions in India, as tabulated here below.</w:t>
      </w:r>
    </w:p>
    <w:tbl>
      <w:tblPr>
        <w:tblW w:w="5193" w:type="dxa"/>
        <w:tblCellSpacing w:w="0" w:type="dxa"/>
        <w:tblCellMar>
          <w:left w:w="0" w:type="dxa"/>
          <w:right w:w="0" w:type="dxa"/>
        </w:tblCellMar>
        <w:tblLook w:val="04A0" w:firstRow="1" w:lastRow="0" w:firstColumn="1" w:lastColumn="0" w:noHBand="0" w:noVBand="1"/>
      </w:tblPr>
      <w:tblGrid>
        <w:gridCol w:w="1181"/>
        <w:gridCol w:w="2840"/>
        <w:gridCol w:w="67"/>
        <w:gridCol w:w="1038"/>
        <w:gridCol w:w="67"/>
      </w:tblGrid>
      <w:tr w:rsidR="009B01C3" w:rsidRPr="0062796D" w14:paraId="0CBA7753" w14:textId="77777777" w:rsidTr="00D10035">
        <w:trPr>
          <w:trHeight w:val="195"/>
          <w:tblCellSpacing w:w="0" w:type="dxa"/>
        </w:trPr>
        <w:tc>
          <w:tcPr>
            <w:tcW w:w="1181" w:type="dxa"/>
            <w:vAlign w:val="bottom"/>
            <w:hideMark/>
          </w:tcPr>
          <w:p w14:paraId="0C1C6801"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lastRenderedPageBreak/>
              <w:t> </w:t>
            </w:r>
          </w:p>
        </w:tc>
        <w:tc>
          <w:tcPr>
            <w:tcW w:w="2840" w:type="dxa"/>
            <w:vAlign w:val="bottom"/>
            <w:hideMark/>
          </w:tcPr>
          <w:p w14:paraId="38CEB4F2" w14:textId="77777777" w:rsidR="009B01C3" w:rsidRPr="0062796D" w:rsidRDefault="009B01C3" w:rsidP="009B01C3">
            <w:pPr>
              <w:spacing w:after="0" w:line="139"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Table 1</w:t>
            </w:r>
          </w:p>
        </w:tc>
        <w:tc>
          <w:tcPr>
            <w:tcW w:w="67" w:type="dxa"/>
            <w:vAlign w:val="bottom"/>
            <w:hideMark/>
          </w:tcPr>
          <w:p w14:paraId="6D0085CC"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vAlign w:val="bottom"/>
            <w:hideMark/>
          </w:tcPr>
          <w:p w14:paraId="4819D3CD"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67" w:type="dxa"/>
            <w:vAlign w:val="bottom"/>
            <w:hideMark/>
          </w:tcPr>
          <w:p w14:paraId="21DF4082"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21D06997" w14:textId="77777777" w:rsidTr="00D10035">
        <w:trPr>
          <w:trHeight w:val="37"/>
          <w:tblCellSpacing w:w="0" w:type="dxa"/>
        </w:trPr>
        <w:tc>
          <w:tcPr>
            <w:tcW w:w="1181" w:type="dxa"/>
            <w:tcBorders>
              <w:bottom w:val="single" w:sz="4" w:space="0" w:color="000000"/>
            </w:tcBorders>
            <w:vAlign w:val="bottom"/>
            <w:hideMark/>
          </w:tcPr>
          <w:p w14:paraId="68805230" w14:textId="77777777" w:rsidR="009B01C3" w:rsidRPr="0062796D" w:rsidRDefault="009B01C3" w:rsidP="009B01C3">
            <w:pPr>
              <w:spacing w:after="0" w:line="28"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840" w:type="dxa"/>
            <w:tcBorders>
              <w:bottom w:val="single" w:sz="4" w:space="0" w:color="000000"/>
            </w:tcBorders>
            <w:vAlign w:val="bottom"/>
            <w:hideMark/>
          </w:tcPr>
          <w:p w14:paraId="1DDDEDA1" w14:textId="77777777" w:rsidR="009B01C3" w:rsidRPr="0062796D" w:rsidRDefault="009B01C3" w:rsidP="009B01C3">
            <w:pPr>
              <w:spacing w:after="0" w:line="28"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67" w:type="dxa"/>
            <w:vMerge w:val="restart"/>
            <w:vAlign w:val="bottom"/>
            <w:hideMark/>
          </w:tcPr>
          <w:p w14:paraId="65F20C6F" w14:textId="77777777" w:rsidR="009B01C3" w:rsidRPr="0062796D" w:rsidRDefault="009B01C3" w:rsidP="009B01C3">
            <w:pPr>
              <w:spacing w:after="0" w:line="46"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11D3DB17" w14:textId="77777777" w:rsidR="009B01C3" w:rsidRPr="0062796D" w:rsidRDefault="009B01C3" w:rsidP="009B01C3">
            <w:pPr>
              <w:spacing w:after="0" w:line="28"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67" w:type="dxa"/>
            <w:vAlign w:val="bottom"/>
            <w:hideMark/>
          </w:tcPr>
          <w:p w14:paraId="0788AFE4" w14:textId="77777777" w:rsidR="009B01C3" w:rsidRPr="0062796D" w:rsidRDefault="009B01C3" w:rsidP="009B01C3">
            <w:pPr>
              <w:spacing w:after="0" w:line="37"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43B092D8" w14:textId="77777777" w:rsidTr="00D10035">
        <w:trPr>
          <w:trHeight w:val="9"/>
          <w:tblCellSpacing w:w="0" w:type="dxa"/>
        </w:trPr>
        <w:tc>
          <w:tcPr>
            <w:tcW w:w="1181" w:type="dxa"/>
            <w:vAlign w:val="bottom"/>
            <w:hideMark/>
          </w:tcPr>
          <w:p w14:paraId="536F7C54"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840" w:type="dxa"/>
            <w:vMerge w:val="restart"/>
            <w:tcBorders>
              <w:bottom w:val="single" w:sz="4" w:space="0" w:color="000000"/>
            </w:tcBorders>
            <w:vAlign w:val="bottom"/>
            <w:hideMark/>
          </w:tcPr>
          <w:p w14:paraId="77017E60"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Central University</w:t>
            </w:r>
          </w:p>
        </w:tc>
        <w:tc>
          <w:tcPr>
            <w:tcW w:w="0" w:type="auto"/>
            <w:vMerge/>
            <w:vAlign w:val="center"/>
            <w:hideMark/>
          </w:tcPr>
          <w:p w14:paraId="0F5A1D3E" w14:textId="77777777" w:rsidR="009B01C3" w:rsidRPr="0062796D" w:rsidRDefault="009B01C3" w:rsidP="009B01C3">
            <w:pPr>
              <w:spacing w:after="0" w:line="240" w:lineRule="auto"/>
              <w:rPr>
                <w:rFonts w:ascii="Arial" w:eastAsia="Times New Roman" w:hAnsi="Arial" w:cs="Arial"/>
                <w:noProof w:val="0"/>
                <w:sz w:val="24"/>
                <w:szCs w:val="24"/>
                <w:lang w:eastAsia="en-IN"/>
              </w:rPr>
            </w:pPr>
          </w:p>
        </w:tc>
        <w:tc>
          <w:tcPr>
            <w:tcW w:w="1038" w:type="dxa"/>
            <w:vMerge w:val="restart"/>
            <w:tcBorders>
              <w:bottom w:val="single" w:sz="4" w:space="0" w:color="000000"/>
            </w:tcBorders>
            <w:vAlign w:val="bottom"/>
            <w:hideMark/>
          </w:tcPr>
          <w:p w14:paraId="0F208A73" w14:textId="77777777" w:rsidR="009B01C3" w:rsidRPr="0062796D" w:rsidRDefault="009B01C3" w:rsidP="009B01C3">
            <w:pPr>
              <w:spacing w:after="0" w:line="9"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43</w:t>
            </w:r>
          </w:p>
        </w:tc>
        <w:tc>
          <w:tcPr>
            <w:tcW w:w="67" w:type="dxa"/>
            <w:vAlign w:val="bottom"/>
            <w:hideMark/>
          </w:tcPr>
          <w:p w14:paraId="6E6C16B8"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7B7F3907" w14:textId="77777777" w:rsidTr="00D10035">
        <w:trPr>
          <w:trHeight w:val="121"/>
          <w:tblCellSpacing w:w="0" w:type="dxa"/>
        </w:trPr>
        <w:tc>
          <w:tcPr>
            <w:tcW w:w="1181" w:type="dxa"/>
            <w:tcBorders>
              <w:left w:val="single" w:sz="4" w:space="0" w:color="000000"/>
              <w:right w:val="single" w:sz="4" w:space="0" w:color="000000"/>
            </w:tcBorders>
            <w:vAlign w:val="bottom"/>
            <w:hideMark/>
          </w:tcPr>
          <w:p w14:paraId="67FE4800"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0" w:type="auto"/>
            <w:vMerge/>
            <w:tcBorders>
              <w:bottom w:val="single" w:sz="4" w:space="0" w:color="000000"/>
            </w:tcBorders>
            <w:vAlign w:val="center"/>
            <w:hideMark/>
          </w:tcPr>
          <w:p w14:paraId="211D188B" w14:textId="77777777" w:rsidR="009B01C3" w:rsidRPr="0062796D" w:rsidRDefault="009B01C3" w:rsidP="009B01C3">
            <w:pPr>
              <w:spacing w:after="0" w:line="240" w:lineRule="auto"/>
              <w:rPr>
                <w:rFonts w:ascii="Arial" w:eastAsia="Times New Roman" w:hAnsi="Arial" w:cs="Arial"/>
                <w:noProof w:val="0"/>
                <w:sz w:val="24"/>
                <w:szCs w:val="24"/>
                <w:lang w:eastAsia="en-IN"/>
              </w:rPr>
            </w:pPr>
          </w:p>
        </w:tc>
        <w:tc>
          <w:tcPr>
            <w:tcW w:w="67" w:type="dxa"/>
            <w:shd w:val="clear" w:color="auto" w:fill="000000"/>
            <w:vAlign w:val="bottom"/>
            <w:hideMark/>
          </w:tcPr>
          <w:p w14:paraId="74435F97"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0" w:type="auto"/>
            <w:vMerge/>
            <w:tcBorders>
              <w:bottom w:val="single" w:sz="4" w:space="0" w:color="000000"/>
            </w:tcBorders>
            <w:vAlign w:val="center"/>
            <w:hideMark/>
          </w:tcPr>
          <w:p w14:paraId="57B70E8D" w14:textId="77777777" w:rsidR="009B01C3" w:rsidRPr="0062796D" w:rsidRDefault="009B01C3" w:rsidP="009B01C3">
            <w:pPr>
              <w:spacing w:after="0" w:line="240" w:lineRule="auto"/>
              <w:rPr>
                <w:rFonts w:ascii="Arial" w:eastAsia="Times New Roman" w:hAnsi="Arial" w:cs="Arial"/>
                <w:noProof w:val="0"/>
                <w:sz w:val="24"/>
                <w:szCs w:val="24"/>
                <w:lang w:eastAsia="en-IN"/>
              </w:rPr>
            </w:pPr>
          </w:p>
        </w:tc>
        <w:tc>
          <w:tcPr>
            <w:tcW w:w="67" w:type="dxa"/>
            <w:shd w:val="clear" w:color="auto" w:fill="000000"/>
            <w:vAlign w:val="bottom"/>
            <w:hideMark/>
          </w:tcPr>
          <w:p w14:paraId="24B62A3D"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2F575140" w14:textId="77777777" w:rsidTr="00D10035">
        <w:trPr>
          <w:trHeight w:val="139"/>
          <w:tblCellSpacing w:w="0" w:type="dxa"/>
        </w:trPr>
        <w:tc>
          <w:tcPr>
            <w:tcW w:w="1181" w:type="dxa"/>
            <w:tcBorders>
              <w:left w:val="single" w:sz="4" w:space="0" w:color="000000"/>
              <w:right w:val="single" w:sz="4" w:space="0" w:color="000000"/>
            </w:tcBorders>
            <w:vAlign w:val="bottom"/>
            <w:hideMark/>
          </w:tcPr>
          <w:p w14:paraId="5ABBBDB3"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840" w:type="dxa"/>
            <w:tcBorders>
              <w:bottom w:val="single" w:sz="4" w:space="0" w:color="000000"/>
            </w:tcBorders>
            <w:vAlign w:val="bottom"/>
            <w:hideMark/>
          </w:tcPr>
          <w:p w14:paraId="6F69551D" w14:textId="77777777" w:rsidR="009B01C3" w:rsidRPr="0062796D" w:rsidRDefault="009B01C3" w:rsidP="009B01C3">
            <w:pPr>
              <w:spacing w:after="0" w:line="130"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State Public University</w:t>
            </w:r>
          </w:p>
        </w:tc>
        <w:tc>
          <w:tcPr>
            <w:tcW w:w="67" w:type="dxa"/>
            <w:shd w:val="clear" w:color="auto" w:fill="000000"/>
            <w:vAlign w:val="bottom"/>
            <w:hideMark/>
          </w:tcPr>
          <w:p w14:paraId="36F3389D"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2BCFBB46"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329</w:t>
            </w:r>
          </w:p>
        </w:tc>
        <w:tc>
          <w:tcPr>
            <w:tcW w:w="67" w:type="dxa"/>
            <w:shd w:val="clear" w:color="auto" w:fill="000000"/>
            <w:vAlign w:val="bottom"/>
            <w:hideMark/>
          </w:tcPr>
          <w:p w14:paraId="5B5036E8"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3127C2D5" w14:textId="77777777" w:rsidTr="00D10035">
        <w:trPr>
          <w:trHeight w:val="130"/>
          <w:tblCellSpacing w:w="0" w:type="dxa"/>
        </w:trPr>
        <w:tc>
          <w:tcPr>
            <w:tcW w:w="1181" w:type="dxa"/>
            <w:tcBorders>
              <w:left w:val="single" w:sz="4" w:space="0" w:color="000000"/>
              <w:right w:val="single" w:sz="4" w:space="0" w:color="000000"/>
            </w:tcBorders>
            <w:vAlign w:val="bottom"/>
            <w:hideMark/>
          </w:tcPr>
          <w:p w14:paraId="43D4DE77"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840" w:type="dxa"/>
            <w:tcBorders>
              <w:bottom w:val="single" w:sz="4" w:space="0" w:color="000000"/>
            </w:tcBorders>
            <w:vAlign w:val="bottom"/>
            <w:hideMark/>
          </w:tcPr>
          <w:p w14:paraId="58674961" w14:textId="77777777" w:rsidR="009B01C3" w:rsidRPr="0062796D" w:rsidRDefault="009B01C3" w:rsidP="009B01C3">
            <w:pPr>
              <w:spacing w:after="0" w:line="12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Deemed University</w:t>
            </w:r>
          </w:p>
        </w:tc>
        <w:tc>
          <w:tcPr>
            <w:tcW w:w="67" w:type="dxa"/>
            <w:shd w:val="clear" w:color="auto" w:fill="000000"/>
            <w:vAlign w:val="bottom"/>
            <w:hideMark/>
          </w:tcPr>
          <w:p w14:paraId="0D76F964"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284A1B11" w14:textId="77777777" w:rsidR="009B01C3" w:rsidRPr="0062796D" w:rsidRDefault="009B01C3" w:rsidP="009B01C3">
            <w:pPr>
              <w:spacing w:after="0" w:line="121"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122</w:t>
            </w:r>
          </w:p>
        </w:tc>
        <w:tc>
          <w:tcPr>
            <w:tcW w:w="67" w:type="dxa"/>
            <w:shd w:val="clear" w:color="auto" w:fill="000000"/>
            <w:vAlign w:val="bottom"/>
            <w:hideMark/>
          </w:tcPr>
          <w:p w14:paraId="3DFD1552"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322B0843" w14:textId="77777777" w:rsidTr="00D10035">
        <w:trPr>
          <w:trHeight w:val="139"/>
          <w:tblCellSpacing w:w="0" w:type="dxa"/>
        </w:trPr>
        <w:tc>
          <w:tcPr>
            <w:tcW w:w="1181" w:type="dxa"/>
            <w:tcBorders>
              <w:left w:val="single" w:sz="4" w:space="0" w:color="000000"/>
              <w:right w:val="single" w:sz="4" w:space="0" w:color="000000"/>
            </w:tcBorders>
            <w:vAlign w:val="bottom"/>
            <w:hideMark/>
          </w:tcPr>
          <w:p w14:paraId="5D6A2943"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840" w:type="dxa"/>
            <w:tcBorders>
              <w:bottom w:val="single" w:sz="4" w:space="0" w:color="000000"/>
            </w:tcBorders>
            <w:vAlign w:val="bottom"/>
            <w:hideMark/>
          </w:tcPr>
          <w:p w14:paraId="4CBDDEE8" w14:textId="77777777" w:rsidR="009B01C3" w:rsidRPr="0062796D" w:rsidRDefault="009B01C3" w:rsidP="009B01C3">
            <w:pPr>
              <w:spacing w:after="0" w:line="130"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State Private University</w:t>
            </w:r>
          </w:p>
        </w:tc>
        <w:tc>
          <w:tcPr>
            <w:tcW w:w="67" w:type="dxa"/>
            <w:shd w:val="clear" w:color="auto" w:fill="000000"/>
            <w:vAlign w:val="bottom"/>
            <w:hideMark/>
          </w:tcPr>
          <w:p w14:paraId="2B1D55E1"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1F746C49"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197</w:t>
            </w:r>
          </w:p>
        </w:tc>
        <w:tc>
          <w:tcPr>
            <w:tcW w:w="67" w:type="dxa"/>
            <w:shd w:val="clear" w:color="auto" w:fill="000000"/>
            <w:vAlign w:val="bottom"/>
            <w:hideMark/>
          </w:tcPr>
          <w:p w14:paraId="506AF44D"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1679206B" w14:textId="77777777" w:rsidTr="00D10035">
        <w:trPr>
          <w:trHeight w:val="130"/>
          <w:tblCellSpacing w:w="0" w:type="dxa"/>
        </w:trPr>
        <w:tc>
          <w:tcPr>
            <w:tcW w:w="1181" w:type="dxa"/>
            <w:vMerge w:val="restart"/>
            <w:tcBorders>
              <w:left w:val="single" w:sz="4" w:space="0" w:color="000000"/>
              <w:right w:val="single" w:sz="4" w:space="0" w:color="000000"/>
            </w:tcBorders>
            <w:vAlign w:val="bottom"/>
            <w:hideMark/>
          </w:tcPr>
          <w:p w14:paraId="37E8C776" w14:textId="77777777" w:rsidR="009B01C3" w:rsidRPr="0062796D" w:rsidRDefault="009B01C3" w:rsidP="009B01C3">
            <w:pPr>
              <w:spacing w:after="0" w:line="139"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University</w:t>
            </w:r>
          </w:p>
        </w:tc>
        <w:tc>
          <w:tcPr>
            <w:tcW w:w="2840" w:type="dxa"/>
            <w:tcBorders>
              <w:bottom w:val="single" w:sz="4" w:space="0" w:color="000000"/>
            </w:tcBorders>
            <w:vAlign w:val="bottom"/>
            <w:hideMark/>
          </w:tcPr>
          <w:p w14:paraId="7838BA87" w14:textId="77777777" w:rsidR="009B01C3" w:rsidRPr="0062796D" w:rsidRDefault="009B01C3" w:rsidP="009B01C3">
            <w:pPr>
              <w:spacing w:after="0" w:line="12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Central Open University</w:t>
            </w:r>
          </w:p>
        </w:tc>
        <w:tc>
          <w:tcPr>
            <w:tcW w:w="67" w:type="dxa"/>
            <w:shd w:val="clear" w:color="auto" w:fill="000000"/>
            <w:vAlign w:val="bottom"/>
            <w:hideMark/>
          </w:tcPr>
          <w:p w14:paraId="3358C3E1"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6F5F6BDF" w14:textId="77777777" w:rsidR="009B01C3" w:rsidRPr="0062796D" w:rsidRDefault="009B01C3" w:rsidP="009B01C3">
            <w:pPr>
              <w:spacing w:after="0" w:line="121"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1</w:t>
            </w:r>
          </w:p>
        </w:tc>
        <w:tc>
          <w:tcPr>
            <w:tcW w:w="67" w:type="dxa"/>
            <w:shd w:val="clear" w:color="auto" w:fill="000000"/>
            <w:vAlign w:val="bottom"/>
            <w:hideMark/>
          </w:tcPr>
          <w:p w14:paraId="3ABA41BF"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66DD68EA" w14:textId="77777777" w:rsidTr="00D10035">
        <w:trPr>
          <w:trHeight w:val="139"/>
          <w:tblCellSpacing w:w="0" w:type="dxa"/>
        </w:trPr>
        <w:tc>
          <w:tcPr>
            <w:tcW w:w="0" w:type="auto"/>
            <w:vMerge/>
            <w:tcBorders>
              <w:left w:val="single" w:sz="4" w:space="0" w:color="000000"/>
              <w:right w:val="single" w:sz="4" w:space="0" w:color="000000"/>
            </w:tcBorders>
            <w:vAlign w:val="center"/>
            <w:hideMark/>
          </w:tcPr>
          <w:p w14:paraId="3FDD6F27" w14:textId="77777777" w:rsidR="009B01C3" w:rsidRPr="0062796D" w:rsidRDefault="009B01C3" w:rsidP="009B01C3">
            <w:pPr>
              <w:spacing w:after="0" w:line="240" w:lineRule="auto"/>
              <w:rPr>
                <w:rFonts w:ascii="Arial" w:eastAsia="Times New Roman" w:hAnsi="Arial" w:cs="Arial"/>
                <w:b/>
                <w:bCs/>
                <w:noProof w:val="0"/>
                <w:sz w:val="24"/>
                <w:szCs w:val="24"/>
                <w:lang w:eastAsia="en-IN"/>
              </w:rPr>
            </w:pPr>
          </w:p>
        </w:tc>
        <w:tc>
          <w:tcPr>
            <w:tcW w:w="2840" w:type="dxa"/>
            <w:tcBorders>
              <w:bottom w:val="single" w:sz="4" w:space="0" w:color="000000"/>
            </w:tcBorders>
            <w:vAlign w:val="bottom"/>
            <w:hideMark/>
          </w:tcPr>
          <w:p w14:paraId="2CFE138B" w14:textId="77777777" w:rsidR="009B01C3" w:rsidRPr="0062796D" w:rsidRDefault="009B01C3" w:rsidP="009B01C3">
            <w:pPr>
              <w:spacing w:after="0" w:line="130"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State Open University</w:t>
            </w:r>
          </w:p>
        </w:tc>
        <w:tc>
          <w:tcPr>
            <w:tcW w:w="67" w:type="dxa"/>
            <w:shd w:val="clear" w:color="auto" w:fill="000000"/>
            <w:vAlign w:val="bottom"/>
            <w:hideMark/>
          </w:tcPr>
          <w:p w14:paraId="2A409650"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0AD3343D"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13</w:t>
            </w:r>
          </w:p>
        </w:tc>
        <w:tc>
          <w:tcPr>
            <w:tcW w:w="67" w:type="dxa"/>
            <w:shd w:val="clear" w:color="auto" w:fill="000000"/>
            <w:vAlign w:val="bottom"/>
            <w:hideMark/>
          </w:tcPr>
          <w:p w14:paraId="6387ABF9"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683A85A1" w14:textId="77777777" w:rsidTr="00D10035">
        <w:trPr>
          <w:trHeight w:val="130"/>
          <w:tblCellSpacing w:w="0" w:type="dxa"/>
        </w:trPr>
        <w:tc>
          <w:tcPr>
            <w:tcW w:w="1181" w:type="dxa"/>
            <w:tcBorders>
              <w:left w:val="single" w:sz="4" w:space="0" w:color="000000"/>
              <w:right w:val="single" w:sz="4" w:space="0" w:color="000000"/>
            </w:tcBorders>
            <w:vAlign w:val="bottom"/>
            <w:hideMark/>
          </w:tcPr>
          <w:p w14:paraId="570EC3B4"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840" w:type="dxa"/>
            <w:tcBorders>
              <w:bottom w:val="single" w:sz="4" w:space="0" w:color="000000"/>
            </w:tcBorders>
            <w:vAlign w:val="bottom"/>
            <w:hideMark/>
          </w:tcPr>
          <w:p w14:paraId="6C76C367" w14:textId="77777777" w:rsidR="009B01C3" w:rsidRPr="0062796D" w:rsidRDefault="009B01C3" w:rsidP="009B01C3">
            <w:pPr>
              <w:spacing w:after="0" w:line="12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Institution of National Importance</w:t>
            </w:r>
          </w:p>
        </w:tc>
        <w:tc>
          <w:tcPr>
            <w:tcW w:w="67" w:type="dxa"/>
            <w:shd w:val="clear" w:color="auto" w:fill="000000"/>
            <w:vAlign w:val="bottom"/>
            <w:hideMark/>
          </w:tcPr>
          <w:p w14:paraId="23333FA7"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001DBF9D" w14:textId="77777777" w:rsidR="009B01C3" w:rsidRPr="0062796D" w:rsidRDefault="009B01C3" w:rsidP="009B01C3">
            <w:pPr>
              <w:spacing w:after="0" w:line="121"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75</w:t>
            </w:r>
          </w:p>
        </w:tc>
        <w:tc>
          <w:tcPr>
            <w:tcW w:w="67" w:type="dxa"/>
            <w:shd w:val="clear" w:color="auto" w:fill="000000"/>
            <w:vAlign w:val="bottom"/>
            <w:hideMark/>
          </w:tcPr>
          <w:p w14:paraId="104CAAA0"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1D4C8EED" w14:textId="77777777" w:rsidTr="00D10035">
        <w:trPr>
          <w:trHeight w:val="121"/>
          <w:tblCellSpacing w:w="0" w:type="dxa"/>
        </w:trPr>
        <w:tc>
          <w:tcPr>
            <w:tcW w:w="1181" w:type="dxa"/>
            <w:tcBorders>
              <w:left w:val="single" w:sz="4" w:space="0" w:color="000000"/>
              <w:right w:val="single" w:sz="4" w:space="0" w:color="000000"/>
            </w:tcBorders>
            <w:vAlign w:val="bottom"/>
            <w:hideMark/>
          </w:tcPr>
          <w:p w14:paraId="282560F7"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840" w:type="dxa"/>
            <w:tcBorders>
              <w:bottom w:val="single" w:sz="4" w:space="0" w:color="000000"/>
            </w:tcBorders>
            <w:vAlign w:val="bottom"/>
            <w:hideMark/>
          </w:tcPr>
          <w:p w14:paraId="3D05A9DD" w14:textId="77777777" w:rsidR="009B01C3" w:rsidRPr="0062796D" w:rsidRDefault="009B01C3" w:rsidP="009B01C3">
            <w:pPr>
              <w:spacing w:after="0" w:line="12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State Private Open University</w:t>
            </w:r>
          </w:p>
        </w:tc>
        <w:tc>
          <w:tcPr>
            <w:tcW w:w="67" w:type="dxa"/>
            <w:tcBorders>
              <w:bottom w:val="single" w:sz="4" w:space="0" w:color="000000"/>
            </w:tcBorders>
            <w:shd w:val="clear" w:color="auto" w:fill="000000"/>
            <w:vAlign w:val="bottom"/>
            <w:hideMark/>
          </w:tcPr>
          <w:p w14:paraId="1D525DBA"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7BE26542" w14:textId="77777777" w:rsidR="009B01C3" w:rsidRPr="0062796D" w:rsidRDefault="009B01C3" w:rsidP="009B01C3">
            <w:pPr>
              <w:spacing w:after="0" w:line="121"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1</w:t>
            </w:r>
          </w:p>
        </w:tc>
        <w:tc>
          <w:tcPr>
            <w:tcW w:w="67" w:type="dxa"/>
            <w:tcBorders>
              <w:bottom w:val="single" w:sz="4" w:space="0" w:color="000000"/>
            </w:tcBorders>
            <w:shd w:val="clear" w:color="auto" w:fill="000000"/>
            <w:vAlign w:val="bottom"/>
            <w:hideMark/>
          </w:tcPr>
          <w:p w14:paraId="37539A20"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78F3F141" w14:textId="77777777" w:rsidTr="00D10035">
        <w:trPr>
          <w:trHeight w:val="139"/>
          <w:tblCellSpacing w:w="0" w:type="dxa"/>
        </w:trPr>
        <w:tc>
          <w:tcPr>
            <w:tcW w:w="1181" w:type="dxa"/>
            <w:tcBorders>
              <w:left w:val="single" w:sz="4" w:space="0" w:color="000000"/>
              <w:right w:val="single" w:sz="4" w:space="0" w:color="000000"/>
            </w:tcBorders>
            <w:vAlign w:val="bottom"/>
            <w:hideMark/>
          </w:tcPr>
          <w:p w14:paraId="1D13D0A6"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840" w:type="dxa"/>
            <w:tcBorders>
              <w:bottom w:val="single" w:sz="4" w:space="0" w:color="000000"/>
            </w:tcBorders>
            <w:vAlign w:val="bottom"/>
            <w:hideMark/>
          </w:tcPr>
          <w:p w14:paraId="1C382CC6" w14:textId="77777777" w:rsidR="009B01C3" w:rsidRPr="0062796D" w:rsidRDefault="009B01C3" w:rsidP="009B01C3">
            <w:pPr>
              <w:spacing w:after="0" w:line="130"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Institutions under State Legislature Act</w:t>
            </w:r>
          </w:p>
        </w:tc>
        <w:tc>
          <w:tcPr>
            <w:tcW w:w="67" w:type="dxa"/>
            <w:shd w:val="clear" w:color="auto" w:fill="000000"/>
            <w:vAlign w:val="bottom"/>
            <w:hideMark/>
          </w:tcPr>
          <w:p w14:paraId="321A71CF"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3B8CEFC9"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5</w:t>
            </w:r>
          </w:p>
        </w:tc>
        <w:tc>
          <w:tcPr>
            <w:tcW w:w="67" w:type="dxa"/>
            <w:shd w:val="clear" w:color="auto" w:fill="000000"/>
            <w:vAlign w:val="bottom"/>
            <w:hideMark/>
          </w:tcPr>
          <w:p w14:paraId="28D7C6D7"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5DB43757" w14:textId="77777777" w:rsidTr="00D10035">
        <w:trPr>
          <w:trHeight w:val="121"/>
          <w:tblCellSpacing w:w="0" w:type="dxa"/>
        </w:trPr>
        <w:tc>
          <w:tcPr>
            <w:tcW w:w="1181" w:type="dxa"/>
            <w:tcBorders>
              <w:left w:val="single" w:sz="4" w:space="0" w:color="000000"/>
              <w:right w:val="single" w:sz="4" w:space="0" w:color="000000"/>
            </w:tcBorders>
            <w:vAlign w:val="bottom"/>
            <w:hideMark/>
          </w:tcPr>
          <w:p w14:paraId="417B51EF"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840" w:type="dxa"/>
            <w:tcBorders>
              <w:bottom w:val="single" w:sz="4" w:space="0" w:color="000000"/>
            </w:tcBorders>
            <w:vAlign w:val="bottom"/>
            <w:hideMark/>
          </w:tcPr>
          <w:p w14:paraId="33031976" w14:textId="77777777" w:rsidR="009B01C3" w:rsidRPr="0062796D" w:rsidRDefault="009B01C3" w:rsidP="009B01C3">
            <w:pPr>
              <w:spacing w:after="0" w:line="12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Others</w:t>
            </w:r>
          </w:p>
        </w:tc>
        <w:tc>
          <w:tcPr>
            <w:tcW w:w="67" w:type="dxa"/>
            <w:tcBorders>
              <w:bottom w:val="single" w:sz="4" w:space="0" w:color="000000"/>
            </w:tcBorders>
            <w:shd w:val="clear" w:color="auto" w:fill="000000"/>
            <w:vAlign w:val="bottom"/>
            <w:hideMark/>
          </w:tcPr>
          <w:p w14:paraId="18F4A354"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7C2A90B9" w14:textId="77777777" w:rsidR="009B01C3" w:rsidRPr="0062796D" w:rsidRDefault="009B01C3" w:rsidP="009B01C3">
            <w:pPr>
              <w:spacing w:after="0" w:line="121"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13</w:t>
            </w:r>
          </w:p>
        </w:tc>
        <w:tc>
          <w:tcPr>
            <w:tcW w:w="67" w:type="dxa"/>
            <w:tcBorders>
              <w:bottom w:val="single" w:sz="4" w:space="0" w:color="000000"/>
            </w:tcBorders>
            <w:shd w:val="clear" w:color="auto" w:fill="000000"/>
            <w:vAlign w:val="bottom"/>
            <w:hideMark/>
          </w:tcPr>
          <w:p w14:paraId="07FF06CA"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781EB5B5" w14:textId="77777777" w:rsidTr="00D10035">
        <w:trPr>
          <w:trHeight w:val="130"/>
          <w:tblCellSpacing w:w="0" w:type="dxa"/>
        </w:trPr>
        <w:tc>
          <w:tcPr>
            <w:tcW w:w="1181" w:type="dxa"/>
            <w:tcBorders>
              <w:left w:val="single" w:sz="4" w:space="0" w:color="000000"/>
              <w:bottom w:val="single" w:sz="4" w:space="0" w:color="000000"/>
              <w:right w:val="single" w:sz="4" w:space="0" w:color="000000"/>
            </w:tcBorders>
            <w:vAlign w:val="bottom"/>
            <w:hideMark/>
          </w:tcPr>
          <w:p w14:paraId="65BBFB24"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840" w:type="dxa"/>
            <w:tcBorders>
              <w:bottom w:val="single" w:sz="4" w:space="0" w:color="000000"/>
            </w:tcBorders>
            <w:vAlign w:val="bottom"/>
            <w:hideMark/>
          </w:tcPr>
          <w:p w14:paraId="779E7B8D"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Total</w:t>
            </w:r>
          </w:p>
        </w:tc>
        <w:tc>
          <w:tcPr>
            <w:tcW w:w="67" w:type="dxa"/>
            <w:tcBorders>
              <w:bottom w:val="single" w:sz="4" w:space="0" w:color="000000"/>
            </w:tcBorders>
            <w:shd w:val="clear" w:color="auto" w:fill="000000"/>
            <w:vAlign w:val="bottom"/>
            <w:hideMark/>
          </w:tcPr>
          <w:p w14:paraId="15F6CA82"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37C3A17D" w14:textId="77777777" w:rsidR="009B01C3" w:rsidRPr="0062796D" w:rsidRDefault="009B01C3" w:rsidP="009B01C3">
            <w:pPr>
              <w:spacing w:after="0" w:line="130" w:lineRule="atLeast"/>
              <w:jc w:val="righ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799</w:t>
            </w:r>
          </w:p>
        </w:tc>
        <w:tc>
          <w:tcPr>
            <w:tcW w:w="67" w:type="dxa"/>
            <w:tcBorders>
              <w:bottom w:val="single" w:sz="4" w:space="0" w:color="000000"/>
            </w:tcBorders>
            <w:shd w:val="clear" w:color="auto" w:fill="000000"/>
            <w:vAlign w:val="bottom"/>
            <w:hideMark/>
          </w:tcPr>
          <w:p w14:paraId="6716FE17"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4A8A8C1F" w14:textId="77777777" w:rsidTr="00D10035">
        <w:trPr>
          <w:trHeight w:val="130"/>
          <w:tblCellSpacing w:w="0" w:type="dxa"/>
        </w:trPr>
        <w:tc>
          <w:tcPr>
            <w:tcW w:w="1181" w:type="dxa"/>
            <w:tcBorders>
              <w:left w:val="single" w:sz="4" w:space="0" w:color="000000"/>
              <w:bottom w:val="single" w:sz="4" w:space="0" w:color="000000"/>
            </w:tcBorders>
            <w:vAlign w:val="bottom"/>
            <w:hideMark/>
          </w:tcPr>
          <w:p w14:paraId="4D2DDC89" w14:textId="77777777" w:rsidR="009B01C3" w:rsidRPr="0062796D" w:rsidRDefault="009B01C3" w:rsidP="009B01C3">
            <w:pPr>
              <w:spacing w:after="0" w:line="121"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College</w:t>
            </w:r>
          </w:p>
        </w:tc>
        <w:tc>
          <w:tcPr>
            <w:tcW w:w="2840" w:type="dxa"/>
            <w:tcBorders>
              <w:bottom w:val="single" w:sz="4" w:space="0" w:color="000000"/>
            </w:tcBorders>
            <w:vAlign w:val="bottom"/>
            <w:hideMark/>
          </w:tcPr>
          <w:p w14:paraId="7372504E"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67" w:type="dxa"/>
            <w:shd w:val="clear" w:color="auto" w:fill="000000"/>
            <w:vAlign w:val="bottom"/>
            <w:hideMark/>
          </w:tcPr>
          <w:p w14:paraId="037FA6B1"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532A8C92" w14:textId="77777777" w:rsidR="009B01C3" w:rsidRPr="0062796D" w:rsidRDefault="009B01C3" w:rsidP="009B01C3">
            <w:pPr>
              <w:spacing w:after="0" w:line="121" w:lineRule="atLeast"/>
              <w:jc w:val="righ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39071</w:t>
            </w:r>
          </w:p>
        </w:tc>
        <w:tc>
          <w:tcPr>
            <w:tcW w:w="67" w:type="dxa"/>
            <w:shd w:val="clear" w:color="auto" w:fill="000000"/>
            <w:vAlign w:val="bottom"/>
            <w:hideMark/>
          </w:tcPr>
          <w:p w14:paraId="225FA6B1"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02C28F1B" w14:textId="77777777" w:rsidTr="00D10035">
        <w:trPr>
          <w:trHeight w:val="130"/>
          <w:tblCellSpacing w:w="0" w:type="dxa"/>
        </w:trPr>
        <w:tc>
          <w:tcPr>
            <w:tcW w:w="1181" w:type="dxa"/>
            <w:tcBorders>
              <w:left w:val="single" w:sz="4" w:space="0" w:color="000000"/>
              <w:right w:val="single" w:sz="4" w:space="0" w:color="000000"/>
            </w:tcBorders>
            <w:vAlign w:val="bottom"/>
            <w:hideMark/>
          </w:tcPr>
          <w:p w14:paraId="402E6777"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840" w:type="dxa"/>
            <w:tcBorders>
              <w:bottom w:val="single" w:sz="4" w:space="0" w:color="000000"/>
            </w:tcBorders>
            <w:vAlign w:val="bottom"/>
            <w:hideMark/>
          </w:tcPr>
          <w:p w14:paraId="4F4410C7" w14:textId="77777777" w:rsidR="009B01C3" w:rsidRPr="0062796D" w:rsidRDefault="009B01C3" w:rsidP="009B01C3">
            <w:pPr>
              <w:spacing w:after="0" w:line="130"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Diploma Level Technical</w:t>
            </w:r>
          </w:p>
        </w:tc>
        <w:tc>
          <w:tcPr>
            <w:tcW w:w="67" w:type="dxa"/>
            <w:tcBorders>
              <w:bottom w:val="single" w:sz="4" w:space="0" w:color="000000"/>
            </w:tcBorders>
            <w:shd w:val="clear" w:color="auto" w:fill="000000"/>
            <w:vAlign w:val="bottom"/>
            <w:hideMark/>
          </w:tcPr>
          <w:p w14:paraId="01448640"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3CDF0491"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3867</w:t>
            </w:r>
          </w:p>
        </w:tc>
        <w:tc>
          <w:tcPr>
            <w:tcW w:w="67" w:type="dxa"/>
            <w:tcBorders>
              <w:bottom w:val="single" w:sz="4" w:space="0" w:color="000000"/>
            </w:tcBorders>
            <w:shd w:val="clear" w:color="auto" w:fill="000000"/>
            <w:vAlign w:val="bottom"/>
            <w:hideMark/>
          </w:tcPr>
          <w:p w14:paraId="52BEF4CF"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559FB56E" w14:textId="77777777" w:rsidTr="00D10035">
        <w:trPr>
          <w:trHeight w:val="130"/>
          <w:tblCellSpacing w:w="0" w:type="dxa"/>
        </w:trPr>
        <w:tc>
          <w:tcPr>
            <w:tcW w:w="1181" w:type="dxa"/>
            <w:vMerge w:val="restart"/>
            <w:tcBorders>
              <w:left w:val="single" w:sz="4" w:space="0" w:color="000000"/>
              <w:right w:val="single" w:sz="4" w:space="0" w:color="000000"/>
            </w:tcBorders>
            <w:vAlign w:val="bottom"/>
            <w:hideMark/>
          </w:tcPr>
          <w:p w14:paraId="7CF8B37B" w14:textId="77777777" w:rsidR="009B01C3" w:rsidRPr="0062796D" w:rsidRDefault="009B01C3" w:rsidP="009B01C3">
            <w:pPr>
              <w:spacing w:after="0" w:line="139"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Stand Alone</w:t>
            </w:r>
          </w:p>
        </w:tc>
        <w:tc>
          <w:tcPr>
            <w:tcW w:w="2840" w:type="dxa"/>
            <w:tcBorders>
              <w:bottom w:val="single" w:sz="4" w:space="0" w:color="000000"/>
            </w:tcBorders>
            <w:vAlign w:val="bottom"/>
            <w:hideMark/>
          </w:tcPr>
          <w:p w14:paraId="6C0A6A1F" w14:textId="77777777" w:rsidR="009B01C3" w:rsidRPr="0062796D" w:rsidRDefault="009B01C3" w:rsidP="009B01C3">
            <w:pPr>
              <w:spacing w:after="0" w:line="12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PGDM</w:t>
            </w:r>
          </w:p>
        </w:tc>
        <w:tc>
          <w:tcPr>
            <w:tcW w:w="67" w:type="dxa"/>
            <w:shd w:val="clear" w:color="auto" w:fill="000000"/>
            <w:vAlign w:val="bottom"/>
            <w:hideMark/>
          </w:tcPr>
          <w:p w14:paraId="66962284"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28B71A84" w14:textId="77777777" w:rsidR="009B01C3" w:rsidRPr="0062796D" w:rsidRDefault="009B01C3" w:rsidP="009B01C3">
            <w:pPr>
              <w:spacing w:after="0" w:line="121"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435</w:t>
            </w:r>
          </w:p>
        </w:tc>
        <w:tc>
          <w:tcPr>
            <w:tcW w:w="67" w:type="dxa"/>
            <w:shd w:val="clear" w:color="auto" w:fill="000000"/>
            <w:vAlign w:val="bottom"/>
            <w:hideMark/>
          </w:tcPr>
          <w:p w14:paraId="1380F766"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15F2FC8E" w14:textId="77777777" w:rsidTr="00D10035">
        <w:trPr>
          <w:trHeight w:val="121"/>
          <w:tblCellSpacing w:w="0" w:type="dxa"/>
        </w:trPr>
        <w:tc>
          <w:tcPr>
            <w:tcW w:w="0" w:type="auto"/>
            <w:vMerge/>
            <w:tcBorders>
              <w:left w:val="single" w:sz="4" w:space="0" w:color="000000"/>
              <w:right w:val="single" w:sz="4" w:space="0" w:color="000000"/>
            </w:tcBorders>
            <w:vAlign w:val="center"/>
            <w:hideMark/>
          </w:tcPr>
          <w:p w14:paraId="6B0031B2" w14:textId="77777777" w:rsidR="009B01C3" w:rsidRPr="0062796D" w:rsidRDefault="009B01C3" w:rsidP="009B01C3">
            <w:pPr>
              <w:spacing w:after="0" w:line="240" w:lineRule="auto"/>
              <w:rPr>
                <w:rFonts w:ascii="Arial" w:eastAsia="Times New Roman" w:hAnsi="Arial" w:cs="Arial"/>
                <w:b/>
                <w:bCs/>
                <w:noProof w:val="0"/>
                <w:sz w:val="24"/>
                <w:szCs w:val="24"/>
                <w:lang w:eastAsia="en-IN"/>
              </w:rPr>
            </w:pPr>
          </w:p>
        </w:tc>
        <w:tc>
          <w:tcPr>
            <w:tcW w:w="2840" w:type="dxa"/>
            <w:tcBorders>
              <w:bottom w:val="single" w:sz="4" w:space="0" w:color="000000"/>
            </w:tcBorders>
            <w:vAlign w:val="bottom"/>
            <w:hideMark/>
          </w:tcPr>
          <w:p w14:paraId="017F79B8" w14:textId="77777777" w:rsidR="009B01C3" w:rsidRPr="0062796D" w:rsidRDefault="009B01C3" w:rsidP="009B01C3">
            <w:pPr>
              <w:spacing w:after="0" w:line="12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Diploma Level Nursing</w:t>
            </w:r>
          </w:p>
        </w:tc>
        <w:tc>
          <w:tcPr>
            <w:tcW w:w="67" w:type="dxa"/>
            <w:tcBorders>
              <w:bottom w:val="single" w:sz="4" w:space="0" w:color="000000"/>
            </w:tcBorders>
            <w:shd w:val="clear" w:color="auto" w:fill="000000"/>
            <w:vAlign w:val="bottom"/>
            <w:hideMark/>
          </w:tcPr>
          <w:p w14:paraId="126D4BA8"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05FC2E46" w14:textId="77777777" w:rsidR="009B01C3" w:rsidRPr="0062796D" w:rsidRDefault="009B01C3" w:rsidP="009B01C3">
            <w:pPr>
              <w:spacing w:after="0" w:line="121"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3060</w:t>
            </w:r>
          </w:p>
        </w:tc>
        <w:tc>
          <w:tcPr>
            <w:tcW w:w="67" w:type="dxa"/>
            <w:tcBorders>
              <w:bottom w:val="single" w:sz="4" w:space="0" w:color="000000"/>
            </w:tcBorders>
            <w:shd w:val="clear" w:color="auto" w:fill="000000"/>
            <w:vAlign w:val="bottom"/>
            <w:hideMark/>
          </w:tcPr>
          <w:p w14:paraId="3687E1EC"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7B95098A" w14:textId="77777777" w:rsidTr="00D10035">
        <w:trPr>
          <w:trHeight w:val="139"/>
          <w:tblCellSpacing w:w="0" w:type="dxa"/>
        </w:trPr>
        <w:tc>
          <w:tcPr>
            <w:tcW w:w="1181" w:type="dxa"/>
            <w:tcBorders>
              <w:left w:val="single" w:sz="4" w:space="0" w:color="000000"/>
              <w:right w:val="single" w:sz="4" w:space="0" w:color="000000"/>
            </w:tcBorders>
            <w:vAlign w:val="bottom"/>
            <w:hideMark/>
          </w:tcPr>
          <w:p w14:paraId="25CF9F44" w14:textId="77777777" w:rsidR="009B01C3" w:rsidRPr="0062796D" w:rsidRDefault="009B01C3" w:rsidP="009B01C3">
            <w:pPr>
              <w:spacing w:after="0" w:line="139"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Institution</w:t>
            </w:r>
          </w:p>
        </w:tc>
        <w:tc>
          <w:tcPr>
            <w:tcW w:w="2840" w:type="dxa"/>
            <w:tcBorders>
              <w:bottom w:val="single" w:sz="4" w:space="0" w:color="000000"/>
            </w:tcBorders>
            <w:vAlign w:val="bottom"/>
            <w:hideMark/>
          </w:tcPr>
          <w:p w14:paraId="291DB8B7" w14:textId="77777777" w:rsidR="009B01C3" w:rsidRPr="0062796D" w:rsidRDefault="009B01C3" w:rsidP="009B01C3">
            <w:pPr>
              <w:spacing w:after="0" w:line="130"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Diploma Level Teacher Training</w:t>
            </w:r>
          </w:p>
        </w:tc>
        <w:tc>
          <w:tcPr>
            <w:tcW w:w="67" w:type="dxa"/>
            <w:shd w:val="clear" w:color="auto" w:fill="000000"/>
            <w:vAlign w:val="bottom"/>
            <w:hideMark/>
          </w:tcPr>
          <w:p w14:paraId="7444031E"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70389067"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4403</w:t>
            </w:r>
          </w:p>
        </w:tc>
        <w:tc>
          <w:tcPr>
            <w:tcW w:w="67" w:type="dxa"/>
            <w:shd w:val="clear" w:color="auto" w:fill="000000"/>
            <w:vAlign w:val="bottom"/>
            <w:hideMark/>
          </w:tcPr>
          <w:p w14:paraId="4508BF05"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2D25DDE7" w14:textId="77777777" w:rsidTr="00D10035">
        <w:trPr>
          <w:trHeight w:val="130"/>
          <w:tblCellSpacing w:w="0" w:type="dxa"/>
        </w:trPr>
        <w:tc>
          <w:tcPr>
            <w:tcW w:w="1181" w:type="dxa"/>
            <w:tcBorders>
              <w:left w:val="single" w:sz="4" w:space="0" w:color="000000"/>
              <w:right w:val="single" w:sz="4" w:space="0" w:color="000000"/>
            </w:tcBorders>
            <w:vAlign w:val="bottom"/>
            <w:hideMark/>
          </w:tcPr>
          <w:p w14:paraId="1F9BF476"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840" w:type="dxa"/>
            <w:tcBorders>
              <w:bottom w:val="single" w:sz="4" w:space="0" w:color="000000"/>
            </w:tcBorders>
            <w:vAlign w:val="bottom"/>
            <w:hideMark/>
          </w:tcPr>
          <w:p w14:paraId="3CFE1A20" w14:textId="77777777" w:rsidR="009B01C3" w:rsidRPr="0062796D" w:rsidRDefault="009B01C3" w:rsidP="009B01C3">
            <w:pPr>
              <w:spacing w:after="0" w:line="130"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Institute under Ministries</w:t>
            </w:r>
          </w:p>
        </w:tc>
        <w:tc>
          <w:tcPr>
            <w:tcW w:w="67" w:type="dxa"/>
            <w:tcBorders>
              <w:bottom w:val="single" w:sz="4" w:space="0" w:color="000000"/>
            </w:tcBorders>
            <w:shd w:val="clear" w:color="auto" w:fill="000000"/>
            <w:vAlign w:val="bottom"/>
            <w:hideMark/>
          </w:tcPr>
          <w:p w14:paraId="7B3D0D7F"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703BB31A"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158</w:t>
            </w:r>
          </w:p>
        </w:tc>
        <w:tc>
          <w:tcPr>
            <w:tcW w:w="67" w:type="dxa"/>
            <w:tcBorders>
              <w:bottom w:val="single" w:sz="4" w:space="0" w:color="000000"/>
            </w:tcBorders>
            <w:shd w:val="clear" w:color="auto" w:fill="000000"/>
            <w:vAlign w:val="bottom"/>
            <w:hideMark/>
          </w:tcPr>
          <w:p w14:paraId="3D52D0ED"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60348380" w14:textId="77777777" w:rsidTr="00D10035">
        <w:trPr>
          <w:trHeight w:val="130"/>
          <w:tblCellSpacing w:w="0" w:type="dxa"/>
        </w:trPr>
        <w:tc>
          <w:tcPr>
            <w:tcW w:w="1181" w:type="dxa"/>
            <w:tcBorders>
              <w:left w:val="single" w:sz="4" w:space="0" w:color="000000"/>
              <w:bottom w:val="single" w:sz="4" w:space="0" w:color="000000"/>
              <w:right w:val="single" w:sz="4" w:space="0" w:color="000000"/>
            </w:tcBorders>
            <w:vAlign w:val="bottom"/>
            <w:hideMark/>
          </w:tcPr>
          <w:p w14:paraId="20BEBD8A"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840" w:type="dxa"/>
            <w:tcBorders>
              <w:bottom w:val="single" w:sz="4" w:space="0" w:color="000000"/>
            </w:tcBorders>
            <w:vAlign w:val="bottom"/>
            <w:hideMark/>
          </w:tcPr>
          <w:p w14:paraId="507A09B5" w14:textId="77777777" w:rsidR="009B01C3" w:rsidRPr="0062796D" w:rsidRDefault="009B01C3" w:rsidP="009B01C3">
            <w:pPr>
              <w:spacing w:after="0" w:line="121"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Total</w:t>
            </w:r>
          </w:p>
        </w:tc>
        <w:tc>
          <w:tcPr>
            <w:tcW w:w="67" w:type="dxa"/>
            <w:shd w:val="clear" w:color="auto" w:fill="000000"/>
            <w:vAlign w:val="bottom"/>
            <w:hideMark/>
          </w:tcPr>
          <w:p w14:paraId="74D355E5"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8" w:type="dxa"/>
            <w:tcBorders>
              <w:bottom w:val="single" w:sz="4" w:space="0" w:color="000000"/>
            </w:tcBorders>
            <w:vAlign w:val="bottom"/>
            <w:hideMark/>
          </w:tcPr>
          <w:p w14:paraId="6A9316AB" w14:textId="77777777" w:rsidR="009B01C3" w:rsidRPr="0062796D" w:rsidRDefault="009B01C3" w:rsidP="009B01C3">
            <w:pPr>
              <w:spacing w:after="0" w:line="121" w:lineRule="atLeast"/>
              <w:jc w:val="righ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11,923</w:t>
            </w:r>
          </w:p>
        </w:tc>
        <w:tc>
          <w:tcPr>
            <w:tcW w:w="67" w:type="dxa"/>
            <w:shd w:val="clear" w:color="auto" w:fill="000000"/>
            <w:vAlign w:val="bottom"/>
            <w:hideMark/>
          </w:tcPr>
          <w:p w14:paraId="27D98E4A"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bl>
    <w:p w14:paraId="7C0B39AB" w14:textId="3A40EBB9" w:rsidR="009B01C3" w:rsidRPr="0062796D" w:rsidRDefault="004631E5" w:rsidP="0062796D">
      <w:pPr>
        <w:spacing w:line="240" w:lineRule="auto"/>
        <w:rPr>
          <w:rFonts w:ascii="Times New Roman" w:eastAsia="Times New Roman" w:hAnsi="Times New Roman" w:cs="Times New Roman"/>
          <w:noProof w:val="0"/>
          <w:color w:val="000000"/>
          <w:sz w:val="24"/>
          <w:szCs w:val="24"/>
          <w:lang w:eastAsia="en-IN"/>
        </w:rPr>
      </w:pPr>
      <w:r w:rsidRPr="0062796D">
        <w:rPr>
          <w:rFonts w:ascii="Times New Roman" w:eastAsia="Times New Roman" w:hAnsi="Times New Roman" w:cs="Times New Roman"/>
          <w:color w:val="000000"/>
          <w:sz w:val="24"/>
          <w:szCs w:val="24"/>
          <w:lang w:eastAsia="en-IN"/>
        </w:rPr>
        <mc:AlternateContent>
          <mc:Choice Requires="wps">
            <w:drawing>
              <wp:inline distT="0" distB="0" distL="0" distR="0" wp14:anchorId="13F6BEA2" wp14:editId="7BFC0352">
                <wp:extent cx="304800" cy="304800"/>
                <wp:effectExtent l="0" t="0" r="0" b="0"/>
                <wp:docPr id="4" name="p3img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61E5F20" id="p3img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VFkZbACAACy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62796D">
        <w:rPr>
          <w:rFonts w:ascii="Arial" w:eastAsia="Times New Roman" w:hAnsi="Arial" w:cs="Arial"/>
          <w:noProof w:val="0"/>
          <w:color w:val="000000"/>
          <w:sz w:val="24"/>
          <w:szCs w:val="24"/>
          <w:lang w:eastAsia="en-IN"/>
        </w:rPr>
        <w:t xml:space="preserve"> </w:t>
      </w:r>
      <w:r w:rsidR="009B01C3" w:rsidRPr="0062796D">
        <w:rPr>
          <w:rFonts w:ascii="Arial" w:eastAsia="Times New Roman" w:hAnsi="Arial" w:cs="Arial"/>
          <w:noProof w:val="0"/>
          <w:color w:val="000000"/>
          <w:sz w:val="24"/>
          <w:szCs w:val="24"/>
          <w:lang w:eastAsia="en-IN"/>
        </w:rPr>
        <w:t xml:space="preserve">So far as academic standards are concerned, the private institutes are regulated in the same manner as the Government institutions. However, unlike Government institutions, the private institution of higher education operates like a business entity, in the sense that such institutes not only recover the total cost of its services from the students and other users but also generates an appropriate surplus to </w:t>
      </w:r>
      <w:proofErr w:type="spellStart"/>
      <w:r w:rsidR="009B01C3" w:rsidRPr="0062796D">
        <w:rPr>
          <w:rFonts w:ascii="Arial" w:eastAsia="Times New Roman" w:hAnsi="Arial" w:cs="Arial"/>
          <w:noProof w:val="0"/>
          <w:color w:val="000000"/>
          <w:sz w:val="24"/>
          <w:szCs w:val="24"/>
          <w:lang w:eastAsia="en-IN"/>
        </w:rPr>
        <w:t>fulfill</w:t>
      </w:r>
      <w:proofErr w:type="spellEnd"/>
      <w:r w:rsidR="009B01C3" w:rsidRPr="0062796D">
        <w:rPr>
          <w:rFonts w:ascii="Arial" w:eastAsia="Times New Roman" w:hAnsi="Arial" w:cs="Arial"/>
          <w:noProof w:val="0"/>
          <w:color w:val="000000"/>
          <w:sz w:val="24"/>
          <w:szCs w:val="24"/>
          <w:lang w:eastAsia="en-IN"/>
        </w:rPr>
        <w:t xml:space="preserve"> their future needs. Such private institutes have to prepare their accounts following the same Accounting Standards as prescribed for other organizations. Thus, the accounting system in Government institutions of higher education can neither be similar to the one being followed by other Government autonomous bodies, which are working on commercial lines, nor with the private institutions of higher education.</w:t>
      </w:r>
    </w:p>
    <w:p w14:paraId="55B045E3" w14:textId="77777777" w:rsidR="009B01C3" w:rsidRPr="0062796D" w:rsidRDefault="009B01C3" w:rsidP="009B01C3">
      <w:pPr>
        <w:spacing w:before="28" w:after="0"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The Government institutions are largely dependent on Government grants for its maintenance as well as developmental activities. The major source of internal revenue of these institutes comprises fee from students, donations, consultancy works, rent from University estate, interest from endowments, etc. In most of the GIHEs, the total annual internal revenue from all these components can hardly meet the total annual operation and maintenance expenditure of such institutes. As such, the resultant deficit of such institutions, i.e., excess of expenditure over income, is met by the government in the shape of annual grant(s) to these institutions.</w:t>
      </w:r>
    </w:p>
    <w:p w14:paraId="6675FD8A" w14:textId="77777777" w:rsidR="009B01C3" w:rsidRPr="0062796D" w:rsidRDefault="009B01C3" w:rsidP="009B01C3">
      <w:pPr>
        <w:spacing w:before="56"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 xml:space="preserve">Here, it will be relevant to make a brief analysis of public expenditure on the education sector. The total expenditure of Government (Central, State and Union Territories) in 2013-14, on Education, was Rs 472011.27 crores.1A table showing </w:t>
      </w:r>
      <w:r w:rsidRPr="0062796D">
        <w:rPr>
          <w:rFonts w:ascii="Arial" w:eastAsia="Times New Roman" w:hAnsi="Arial" w:cs="Arial"/>
          <w:noProof w:val="0"/>
          <w:color w:val="000000"/>
          <w:sz w:val="24"/>
          <w:szCs w:val="24"/>
          <w:lang w:eastAsia="en-IN"/>
        </w:rPr>
        <w:lastRenderedPageBreak/>
        <w:t>total expenditure of Government (Central, State and Union Territories) in 2013-14 is as below: -</w:t>
      </w:r>
    </w:p>
    <w:tbl>
      <w:tblPr>
        <w:tblW w:w="5193" w:type="dxa"/>
        <w:tblCellSpacing w:w="0" w:type="dxa"/>
        <w:tblCellMar>
          <w:left w:w="0" w:type="dxa"/>
          <w:right w:w="0" w:type="dxa"/>
        </w:tblCellMar>
        <w:tblLook w:val="04A0" w:firstRow="1" w:lastRow="0" w:firstColumn="1" w:lastColumn="0" w:noHBand="0" w:noVBand="1"/>
      </w:tblPr>
      <w:tblGrid>
        <w:gridCol w:w="1394"/>
        <w:gridCol w:w="1145"/>
        <w:gridCol w:w="878"/>
        <w:gridCol w:w="1144"/>
        <w:gridCol w:w="1145"/>
      </w:tblGrid>
      <w:tr w:rsidR="009B01C3" w:rsidRPr="0062796D" w14:paraId="0604E77E" w14:textId="77777777" w:rsidTr="009B01C3">
        <w:trPr>
          <w:trHeight w:val="186"/>
          <w:tblCellSpacing w:w="0" w:type="dxa"/>
        </w:trPr>
        <w:tc>
          <w:tcPr>
            <w:tcW w:w="3112" w:type="dxa"/>
            <w:gridSpan w:val="2"/>
            <w:vAlign w:val="bottom"/>
            <w:hideMark/>
          </w:tcPr>
          <w:p w14:paraId="578C7C6F" w14:textId="77777777" w:rsidR="009B01C3" w:rsidRPr="0062796D" w:rsidRDefault="009B01C3" w:rsidP="009B01C3">
            <w:pPr>
              <w:spacing w:after="0" w:line="139"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Table 2</w:t>
            </w:r>
          </w:p>
        </w:tc>
        <w:tc>
          <w:tcPr>
            <w:tcW w:w="492" w:type="dxa"/>
            <w:vAlign w:val="bottom"/>
            <w:hideMark/>
          </w:tcPr>
          <w:p w14:paraId="438E9E58"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589" w:type="dxa"/>
            <w:gridSpan w:val="2"/>
            <w:vAlign w:val="bottom"/>
            <w:hideMark/>
          </w:tcPr>
          <w:p w14:paraId="515D5EA6" w14:textId="77777777" w:rsidR="009B01C3" w:rsidRPr="0062796D" w:rsidRDefault="009B01C3" w:rsidP="009B01C3">
            <w:pPr>
              <w:spacing w:after="0" w:line="13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(Rs in crores)</w:t>
            </w:r>
          </w:p>
        </w:tc>
      </w:tr>
      <w:tr w:rsidR="009B01C3" w:rsidRPr="0062796D" w14:paraId="4595967F" w14:textId="77777777" w:rsidTr="009B01C3">
        <w:trPr>
          <w:trHeight w:val="28"/>
          <w:tblCellSpacing w:w="0" w:type="dxa"/>
        </w:trPr>
        <w:tc>
          <w:tcPr>
            <w:tcW w:w="2508" w:type="dxa"/>
            <w:tcBorders>
              <w:bottom w:val="single" w:sz="4" w:space="0" w:color="000000"/>
            </w:tcBorders>
            <w:vAlign w:val="bottom"/>
            <w:hideMark/>
          </w:tcPr>
          <w:p w14:paraId="05317071" w14:textId="77777777" w:rsidR="009B01C3" w:rsidRPr="0062796D" w:rsidRDefault="009B01C3" w:rsidP="009B01C3">
            <w:pPr>
              <w:spacing w:after="0" w:line="28"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604" w:type="dxa"/>
            <w:tcBorders>
              <w:bottom w:val="single" w:sz="4" w:space="0" w:color="000000"/>
            </w:tcBorders>
            <w:vAlign w:val="bottom"/>
            <w:hideMark/>
          </w:tcPr>
          <w:p w14:paraId="54B36435" w14:textId="77777777" w:rsidR="009B01C3" w:rsidRPr="0062796D" w:rsidRDefault="009B01C3" w:rsidP="009B01C3">
            <w:pPr>
              <w:spacing w:after="0" w:line="28"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492" w:type="dxa"/>
            <w:tcBorders>
              <w:bottom w:val="single" w:sz="4" w:space="0" w:color="000000"/>
            </w:tcBorders>
            <w:vAlign w:val="bottom"/>
            <w:hideMark/>
          </w:tcPr>
          <w:p w14:paraId="01183833" w14:textId="77777777" w:rsidR="009B01C3" w:rsidRPr="0062796D" w:rsidRDefault="009B01C3" w:rsidP="009B01C3">
            <w:pPr>
              <w:spacing w:after="0" w:line="28"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985" w:type="dxa"/>
            <w:tcBorders>
              <w:bottom w:val="single" w:sz="4" w:space="0" w:color="000000"/>
            </w:tcBorders>
            <w:vAlign w:val="bottom"/>
            <w:hideMark/>
          </w:tcPr>
          <w:p w14:paraId="1930A212" w14:textId="77777777" w:rsidR="009B01C3" w:rsidRPr="0062796D" w:rsidRDefault="009B01C3" w:rsidP="009B01C3">
            <w:pPr>
              <w:spacing w:after="0" w:line="28"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604" w:type="dxa"/>
            <w:tcBorders>
              <w:bottom w:val="single" w:sz="4" w:space="0" w:color="000000"/>
            </w:tcBorders>
            <w:vAlign w:val="bottom"/>
            <w:hideMark/>
          </w:tcPr>
          <w:p w14:paraId="79C64016" w14:textId="77777777" w:rsidR="009B01C3" w:rsidRPr="0062796D" w:rsidRDefault="009B01C3" w:rsidP="009B01C3">
            <w:pPr>
              <w:spacing w:after="0" w:line="28"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2F8EF2BA" w14:textId="77777777" w:rsidTr="009B01C3">
        <w:trPr>
          <w:trHeight w:val="139"/>
          <w:tblCellSpacing w:w="0" w:type="dxa"/>
        </w:trPr>
        <w:tc>
          <w:tcPr>
            <w:tcW w:w="2490" w:type="dxa"/>
            <w:tcBorders>
              <w:left w:val="single" w:sz="4" w:space="0" w:color="000000"/>
              <w:bottom w:val="single" w:sz="4" w:space="0" w:color="000000"/>
              <w:right w:val="single" w:sz="4" w:space="0" w:color="000000"/>
            </w:tcBorders>
            <w:vAlign w:val="bottom"/>
            <w:hideMark/>
          </w:tcPr>
          <w:p w14:paraId="16BB6A2B"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595" w:type="dxa"/>
            <w:tcBorders>
              <w:bottom w:val="single" w:sz="4" w:space="0" w:color="000000"/>
              <w:right w:val="single" w:sz="4" w:space="0" w:color="000000"/>
            </w:tcBorders>
            <w:vAlign w:val="bottom"/>
            <w:hideMark/>
          </w:tcPr>
          <w:p w14:paraId="2EE4B9E8"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Revenue</w:t>
            </w:r>
          </w:p>
        </w:tc>
        <w:tc>
          <w:tcPr>
            <w:tcW w:w="483" w:type="dxa"/>
            <w:tcBorders>
              <w:bottom w:val="single" w:sz="4" w:space="0" w:color="000000"/>
              <w:right w:val="single" w:sz="4" w:space="0" w:color="000000"/>
            </w:tcBorders>
            <w:vAlign w:val="bottom"/>
            <w:hideMark/>
          </w:tcPr>
          <w:p w14:paraId="17BCBB4C"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Capital</w:t>
            </w:r>
          </w:p>
        </w:tc>
        <w:tc>
          <w:tcPr>
            <w:tcW w:w="975" w:type="dxa"/>
            <w:tcBorders>
              <w:bottom w:val="single" w:sz="4" w:space="0" w:color="000000"/>
              <w:right w:val="single" w:sz="4" w:space="0" w:color="000000"/>
            </w:tcBorders>
            <w:vAlign w:val="bottom"/>
            <w:hideMark/>
          </w:tcPr>
          <w:p w14:paraId="3E6A070F"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Loan &amp; Advances</w:t>
            </w:r>
          </w:p>
        </w:tc>
        <w:tc>
          <w:tcPr>
            <w:tcW w:w="595" w:type="dxa"/>
            <w:tcBorders>
              <w:bottom w:val="single" w:sz="4" w:space="0" w:color="000000"/>
              <w:right w:val="single" w:sz="4" w:space="0" w:color="000000"/>
            </w:tcBorders>
            <w:vAlign w:val="bottom"/>
            <w:hideMark/>
          </w:tcPr>
          <w:p w14:paraId="049DA9FD"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Total</w:t>
            </w:r>
          </w:p>
        </w:tc>
      </w:tr>
      <w:tr w:rsidR="009B01C3" w:rsidRPr="0062796D" w14:paraId="167F3D87" w14:textId="77777777" w:rsidTr="009B01C3">
        <w:trPr>
          <w:trHeight w:val="130"/>
          <w:tblCellSpacing w:w="0" w:type="dxa"/>
        </w:trPr>
        <w:tc>
          <w:tcPr>
            <w:tcW w:w="2490" w:type="dxa"/>
            <w:tcBorders>
              <w:left w:val="single" w:sz="4" w:space="0" w:color="000000"/>
              <w:bottom w:val="single" w:sz="4" w:space="0" w:color="000000"/>
              <w:right w:val="single" w:sz="4" w:space="0" w:color="000000"/>
            </w:tcBorders>
            <w:vAlign w:val="bottom"/>
            <w:hideMark/>
          </w:tcPr>
          <w:p w14:paraId="1A029CAB" w14:textId="77777777" w:rsidR="009B01C3" w:rsidRPr="0062796D" w:rsidRDefault="009B01C3" w:rsidP="009B01C3">
            <w:pPr>
              <w:spacing w:after="0" w:line="130"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Expenditure on Education by Education Department</w:t>
            </w:r>
          </w:p>
        </w:tc>
        <w:tc>
          <w:tcPr>
            <w:tcW w:w="595" w:type="dxa"/>
            <w:tcBorders>
              <w:bottom w:val="single" w:sz="4" w:space="0" w:color="000000"/>
              <w:right w:val="single" w:sz="4" w:space="0" w:color="000000"/>
            </w:tcBorders>
            <w:vAlign w:val="bottom"/>
            <w:hideMark/>
          </w:tcPr>
          <w:p w14:paraId="71411074"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365965.23</w:t>
            </w:r>
          </w:p>
        </w:tc>
        <w:tc>
          <w:tcPr>
            <w:tcW w:w="483" w:type="dxa"/>
            <w:tcBorders>
              <w:bottom w:val="single" w:sz="4" w:space="0" w:color="000000"/>
              <w:right w:val="single" w:sz="4" w:space="0" w:color="000000"/>
            </w:tcBorders>
            <w:vAlign w:val="bottom"/>
            <w:hideMark/>
          </w:tcPr>
          <w:p w14:paraId="68212527"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6841.71</w:t>
            </w:r>
          </w:p>
        </w:tc>
        <w:tc>
          <w:tcPr>
            <w:tcW w:w="975" w:type="dxa"/>
            <w:tcBorders>
              <w:bottom w:val="single" w:sz="4" w:space="0" w:color="000000"/>
              <w:right w:val="single" w:sz="4" w:space="0" w:color="000000"/>
            </w:tcBorders>
            <w:vAlign w:val="bottom"/>
            <w:hideMark/>
          </w:tcPr>
          <w:p w14:paraId="5A9B427A"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26.76</w:t>
            </w:r>
          </w:p>
        </w:tc>
        <w:tc>
          <w:tcPr>
            <w:tcW w:w="595" w:type="dxa"/>
            <w:tcBorders>
              <w:bottom w:val="single" w:sz="4" w:space="0" w:color="000000"/>
              <w:right w:val="single" w:sz="4" w:space="0" w:color="000000"/>
            </w:tcBorders>
            <w:vAlign w:val="bottom"/>
            <w:hideMark/>
          </w:tcPr>
          <w:p w14:paraId="11521F16"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372833.70</w:t>
            </w:r>
          </w:p>
        </w:tc>
      </w:tr>
      <w:tr w:rsidR="009B01C3" w:rsidRPr="0062796D" w14:paraId="0DCD4F8E" w14:textId="77777777" w:rsidTr="009B01C3">
        <w:trPr>
          <w:trHeight w:val="139"/>
          <w:tblCellSpacing w:w="0" w:type="dxa"/>
        </w:trPr>
        <w:tc>
          <w:tcPr>
            <w:tcW w:w="2490" w:type="dxa"/>
            <w:tcBorders>
              <w:left w:val="single" w:sz="4" w:space="0" w:color="000000"/>
              <w:bottom w:val="single" w:sz="4" w:space="0" w:color="000000"/>
              <w:right w:val="single" w:sz="4" w:space="0" w:color="000000"/>
            </w:tcBorders>
            <w:vAlign w:val="bottom"/>
            <w:hideMark/>
          </w:tcPr>
          <w:p w14:paraId="2A680FCE" w14:textId="77777777" w:rsidR="009B01C3" w:rsidRPr="0062796D" w:rsidRDefault="009B01C3" w:rsidP="009B01C3">
            <w:pPr>
              <w:spacing w:after="0" w:line="130"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Expenditure on Education by Other Departments</w:t>
            </w:r>
          </w:p>
        </w:tc>
        <w:tc>
          <w:tcPr>
            <w:tcW w:w="595" w:type="dxa"/>
            <w:tcBorders>
              <w:bottom w:val="single" w:sz="4" w:space="0" w:color="000000"/>
              <w:right w:val="single" w:sz="4" w:space="0" w:color="000000"/>
            </w:tcBorders>
            <w:vAlign w:val="bottom"/>
            <w:hideMark/>
          </w:tcPr>
          <w:p w14:paraId="7533084E"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99177.57</w:t>
            </w:r>
          </w:p>
        </w:tc>
        <w:tc>
          <w:tcPr>
            <w:tcW w:w="483" w:type="dxa"/>
            <w:tcBorders>
              <w:bottom w:val="single" w:sz="4" w:space="0" w:color="000000"/>
              <w:right w:val="single" w:sz="4" w:space="0" w:color="000000"/>
            </w:tcBorders>
            <w:vAlign w:val="bottom"/>
            <w:hideMark/>
          </w:tcPr>
          <w:p w14:paraId="41D29A90"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0.00</w:t>
            </w:r>
          </w:p>
        </w:tc>
        <w:tc>
          <w:tcPr>
            <w:tcW w:w="975" w:type="dxa"/>
            <w:tcBorders>
              <w:bottom w:val="single" w:sz="4" w:space="0" w:color="000000"/>
              <w:right w:val="single" w:sz="4" w:space="0" w:color="000000"/>
            </w:tcBorders>
            <w:vAlign w:val="bottom"/>
            <w:hideMark/>
          </w:tcPr>
          <w:p w14:paraId="47805476"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0.00</w:t>
            </w:r>
          </w:p>
        </w:tc>
        <w:tc>
          <w:tcPr>
            <w:tcW w:w="595" w:type="dxa"/>
            <w:tcBorders>
              <w:bottom w:val="single" w:sz="4" w:space="0" w:color="000000"/>
              <w:right w:val="single" w:sz="4" w:space="0" w:color="000000"/>
            </w:tcBorders>
            <w:vAlign w:val="bottom"/>
            <w:hideMark/>
          </w:tcPr>
          <w:p w14:paraId="21351E04"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99177.57</w:t>
            </w:r>
          </w:p>
        </w:tc>
      </w:tr>
      <w:tr w:rsidR="009B01C3" w:rsidRPr="0062796D" w14:paraId="04DDFC71" w14:textId="77777777" w:rsidTr="009B01C3">
        <w:trPr>
          <w:trHeight w:val="130"/>
          <w:tblCellSpacing w:w="0" w:type="dxa"/>
        </w:trPr>
        <w:tc>
          <w:tcPr>
            <w:tcW w:w="2490" w:type="dxa"/>
            <w:tcBorders>
              <w:left w:val="single" w:sz="4" w:space="0" w:color="000000"/>
              <w:bottom w:val="single" w:sz="4" w:space="0" w:color="000000"/>
              <w:right w:val="single" w:sz="4" w:space="0" w:color="000000"/>
            </w:tcBorders>
            <w:vAlign w:val="bottom"/>
            <w:hideMark/>
          </w:tcPr>
          <w:p w14:paraId="1871B4BC"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Total</w:t>
            </w:r>
          </w:p>
        </w:tc>
        <w:tc>
          <w:tcPr>
            <w:tcW w:w="595" w:type="dxa"/>
            <w:tcBorders>
              <w:bottom w:val="single" w:sz="4" w:space="0" w:color="000000"/>
              <w:right w:val="single" w:sz="4" w:space="0" w:color="000000"/>
            </w:tcBorders>
            <w:vAlign w:val="bottom"/>
            <w:hideMark/>
          </w:tcPr>
          <w:p w14:paraId="5D2F41F9"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465142.80</w:t>
            </w:r>
          </w:p>
        </w:tc>
        <w:tc>
          <w:tcPr>
            <w:tcW w:w="483" w:type="dxa"/>
            <w:tcBorders>
              <w:bottom w:val="single" w:sz="4" w:space="0" w:color="000000"/>
              <w:right w:val="single" w:sz="4" w:space="0" w:color="000000"/>
            </w:tcBorders>
            <w:vAlign w:val="bottom"/>
            <w:hideMark/>
          </w:tcPr>
          <w:p w14:paraId="7902D7B4"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6841.71</w:t>
            </w:r>
          </w:p>
        </w:tc>
        <w:tc>
          <w:tcPr>
            <w:tcW w:w="975" w:type="dxa"/>
            <w:tcBorders>
              <w:bottom w:val="single" w:sz="4" w:space="0" w:color="000000"/>
              <w:right w:val="single" w:sz="4" w:space="0" w:color="000000"/>
            </w:tcBorders>
            <w:vAlign w:val="bottom"/>
            <w:hideMark/>
          </w:tcPr>
          <w:p w14:paraId="7D1A03F5"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26.76</w:t>
            </w:r>
          </w:p>
        </w:tc>
        <w:tc>
          <w:tcPr>
            <w:tcW w:w="595" w:type="dxa"/>
            <w:tcBorders>
              <w:bottom w:val="single" w:sz="4" w:space="0" w:color="000000"/>
              <w:right w:val="single" w:sz="4" w:space="0" w:color="000000"/>
            </w:tcBorders>
            <w:vAlign w:val="bottom"/>
            <w:hideMark/>
          </w:tcPr>
          <w:p w14:paraId="6A16B9AC"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472011.27</w:t>
            </w:r>
          </w:p>
        </w:tc>
      </w:tr>
    </w:tbl>
    <w:p w14:paraId="532A1F51" w14:textId="77777777" w:rsidR="009B01C3" w:rsidRPr="0062796D" w:rsidRDefault="009B01C3" w:rsidP="009B01C3">
      <w:pPr>
        <w:spacing w:before="28" w:after="0"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The table 2 depicts the total public expenditure on education, which includes the expenditure on school education as well as higher education. Out of the total public expenditure (revenue) on education of Rs 465142.80 crores, the government outlay towards higher and technical education was Rs</w:t>
      </w:r>
    </w:p>
    <w:p w14:paraId="12003CF9" w14:textId="77777777" w:rsidR="009B01C3" w:rsidRPr="0062796D" w:rsidRDefault="009B01C3" w:rsidP="009B01C3">
      <w:pPr>
        <w:spacing w:before="19" w:after="0" w:line="139" w:lineRule="atLeast"/>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142044.92 crores as tabulated here below:</w:t>
      </w:r>
    </w:p>
    <w:p w14:paraId="2E2FC811" w14:textId="77777777" w:rsidR="009B01C3" w:rsidRPr="0062796D" w:rsidRDefault="009B01C3" w:rsidP="009B01C3">
      <w:pPr>
        <w:spacing w:before="28" w:line="139" w:lineRule="atLeast"/>
        <w:rPr>
          <w:rFonts w:ascii="Arial" w:eastAsia="Times New Roman" w:hAnsi="Arial" w:cs="Arial"/>
          <w:b/>
          <w:bCs/>
          <w:noProof w:val="0"/>
          <w:color w:val="000000"/>
          <w:sz w:val="24"/>
          <w:szCs w:val="24"/>
          <w:lang w:eastAsia="en-IN"/>
        </w:rPr>
      </w:pPr>
      <w:r w:rsidRPr="0062796D">
        <w:rPr>
          <w:rFonts w:ascii="Arial" w:eastAsia="Times New Roman" w:hAnsi="Arial" w:cs="Arial"/>
          <w:b/>
          <w:bCs/>
          <w:noProof w:val="0"/>
          <w:color w:val="000000"/>
          <w:sz w:val="24"/>
          <w:szCs w:val="24"/>
          <w:lang w:eastAsia="en-IN"/>
        </w:rPr>
        <w:t>Table 3</w:t>
      </w:r>
    </w:p>
    <w:tbl>
      <w:tblPr>
        <w:tblW w:w="5184" w:type="dxa"/>
        <w:tblCellSpacing w:w="0" w:type="dxa"/>
        <w:tblCellMar>
          <w:left w:w="0" w:type="dxa"/>
          <w:right w:w="0" w:type="dxa"/>
        </w:tblCellMar>
        <w:tblLook w:val="04A0" w:firstRow="1" w:lastRow="0" w:firstColumn="1" w:lastColumn="0" w:noHBand="0" w:noVBand="1"/>
      </w:tblPr>
      <w:tblGrid>
        <w:gridCol w:w="1088"/>
        <w:gridCol w:w="1002"/>
        <w:gridCol w:w="77"/>
        <w:gridCol w:w="1012"/>
        <w:gridCol w:w="1145"/>
        <w:gridCol w:w="664"/>
        <w:gridCol w:w="771"/>
        <w:gridCol w:w="584"/>
      </w:tblGrid>
      <w:tr w:rsidR="009B01C3" w:rsidRPr="0062796D" w14:paraId="0DD667F7" w14:textId="77777777" w:rsidTr="009B01C3">
        <w:trPr>
          <w:trHeight w:val="139"/>
          <w:tblCellSpacing w:w="0" w:type="dxa"/>
        </w:trPr>
        <w:tc>
          <w:tcPr>
            <w:tcW w:w="1551" w:type="dxa"/>
            <w:tcBorders>
              <w:top w:val="single" w:sz="4" w:space="0" w:color="000000"/>
              <w:left w:val="single" w:sz="4" w:space="0" w:color="000000"/>
              <w:right w:val="single" w:sz="4" w:space="0" w:color="000000"/>
            </w:tcBorders>
            <w:vAlign w:val="bottom"/>
            <w:hideMark/>
          </w:tcPr>
          <w:p w14:paraId="7A1B0312"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165" w:type="dxa"/>
            <w:gridSpan w:val="4"/>
            <w:tcBorders>
              <w:top w:val="single" w:sz="4" w:space="0" w:color="000000"/>
              <w:right w:val="single" w:sz="4" w:space="0" w:color="000000"/>
            </w:tcBorders>
            <w:vAlign w:val="bottom"/>
            <w:hideMark/>
          </w:tcPr>
          <w:p w14:paraId="7951D401"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Expenditure Higher Education</w:t>
            </w:r>
          </w:p>
        </w:tc>
        <w:tc>
          <w:tcPr>
            <w:tcW w:w="1078" w:type="dxa"/>
            <w:gridSpan w:val="2"/>
            <w:tcBorders>
              <w:top w:val="single" w:sz="4" w:space="0" w:color="000000"/>
            </w:tcBorders>
            <w:vAlign w:val="bottom"/>
            <w:hideMark/>
          </w:tcPr>
          <w:p w14:paraId="533F1DFA"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Expenditure</w:t>
            </w:r>
          </w:p>
        </w:tc>
        <w:tc>
          <w:tcPr>
            <w:tcW w:w="362" w:type="dxa"/>
            <w:tcBorders>
              <w:top w:val="single" w:sz="4" w:space="0" w:color="000000"/>
              <w:right w:val="single" w:sz="4" w:space="0" w:color="000000"/>
            </w:tcBorders>
            <w:vAlign w:val="bottom"/>
            <w:hideMark/>
          </w:tcPr>
          <w:p w14:paraId="376DE426"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6F55EB67" w14:textId="77777777" w:rsidTr="009B01C3">
        <w:trPr>
          <w:trHeight w:val="139"/>
          <w:tblCellSpacing w:w="0" w:type="dxa"/>
        </w:trPr>
        <w:tc>
          <w:tcPr>
            <w:tcW w:w="1551" w:type="dxa"/>
            <w:tcBorders>
              <w:left w:val="single" w:sz="4" w:space="0" w:color="000000"/>
              <w:right w:val="single" w:sz="4" w:space="0" w:color="000000"/>
            </w:tcBorders>
            <w:vAlign w:val="bottom"/>
            <w:hideMark/>
          </w:tcPr>
          <w:p w14:paraId="755F2041"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Sector</w:t>
            </w:r>
          </w:p>
        </w:tc>
        <w:tc>
          <w:tcPr>
            <w:tcW w:w="753" w:type="dxa"/>
            <w:vAlign w:val="bottom"/>
            <w:hideMark/>
          </w:tcPr>
          <w:p w14:paraId="5D656049"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743" w:type="dxa"/>
            <w:gridSpan w:val="2"/>
            <w:vAlign w:val="bottom"/>
            <w:hideMark/>
          </w:tcPr>
          <w:p w14:paraId="152BC855" w14:textId="77777777" w:rsidR="009B01C3" w:rsidRPr="0062796D" w:rsidRDefault="009B01C3" w:rsidP="009B01C3">
            <w:pPr>
              <w:spacing w:after="0" w:line="111" w:lineRule="atLeast"/>
              <w:jc w:val="righ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(Rs in crores)</w:t>
            </w:r>
          </w:p>
        </w:tc>
        <w:tc>
          <w:tcPr>
            <w:tcW w:w="669" w:type="dxa"/>
            <w:tcBorders>
              <w:right w:val="single" w:sz="4" w:space="0" w:color="000000"/>
            </w:tcBorders>
            <w:vAlign w:val="bottom"/>
            <w:hideMark/>
          </w:tcPr>
          <w:p w14:paraId="4BB1295D"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78" w:type="dxa"/>
            <w:gridSpan w:val="2"/>
            <w:vAlign w:val="bottom"/>
            <w:hideMark/>
          </w:tcPr>
          <w:p w14:paraId="668CAF5F" w14:textId="77777777" w:rsidR="009B01C3" w:rsidRPr="0062796D" w:rsidRDefault="009B01C3" w:rsidP="009B01C3">
            <w:pPr>
              <w:spacing w:after="0" w:line="130" w:lineRule="atLeast"/>
              <w:jc w:val="center"/>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 of GDP)</w:t>
            </w:r>
          </w:p>
        </w:tc>
        <w:tc>
          <w:tcPr>
            <w:tcW w:w="362" w:type="dxa"/>
            <w:tcBorders>
              <w:right w:val="single" w:sz="4" w:space="0" w:color="000000"/>
            </w:tcBorders>
            <w:vAlign w:val="bottom"/>
            <w:hideMark/>
          </w:tcPr>
          <w:p w14:paraId="3E30C081"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59E2F77E" w14:textId="77777777" w:rsidTr="009B01C3">
        <w:trPr>
          <w:trHeight w:val="139"/>
          <w:tblCellSpacing w:w="0" w:type="dxa"/>
        </w:trPr>
        <w:tc>
          <w:tcPr>
            <w:tcW w:w="1551" w:type="dxa"/>
            <w:tcBorders>
              <w:left w:val="single" w:sz="4" w:space="0" w:color="000000"/>
              <w:bottom w:val="single" w:sz="4" w:space="0" w:color="000000"/>
              <w:right w:val="single" w:sz="4" w:space="0" w:color="000000"/>
            </w:tcBorders>
            <w:vAlign w:val="bottom"/>
            <w:hideMark/>
          </w:tcPr>
          <w:p w14:paraId="4E34C6C1"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753" w:type="dxa"/>
            <w:tcBorders>
              <w:top w:val="single" w:sz="4" w:space="0" w:color="000000"/>
              <w:bottom w:val="single" w:sz="4" w:space="0" w:color="000000"/>
            </w:tcBorders>
            <w:vAlign w:val="bottom"/>
            <w:hideMark/>
          </w:tcPr>
          <w:p w14:paraId="59B9A929"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States/ UTs</w:t>
            </w:r>
          </w:p>
        </w:tc>
        <w:tc>
          <w:tcPr>
            <w:tcW w:w="56" w:type="dxa"/>
            <w:tcBorders>
              <w:top w:val="single" w:sz="4" w:space="0" w:color="000000"/>
              <w:bottom w:val="single" w:sz="4" w:space="0" w:color="000000"/>
              <w:right w:val="single" w:sz="4" w:space="0" w:color="000000"/>
            </w:tcBorders>
            <w:vAlign w:val="bottom"/>
            <w:hideMark/>
          </w:tcPr>
          <w:p w14:paraId="429B7BF0"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669" w:type="dxa"/>
            <w:tcBorders>
              <w:top w:val="single" w:sz="4" w:space="0" w:color="000000"/>
              <w:bottom w:val="single" w:sz="4" w:space="0" w:color="000000"/>
              <w:right w:val="single" w:sz="4" w:space="0" w:color="000000"/>
            </w:tcBorders>
            <w:vAlign w:val="bottom"/>
            <w:hideMark/>
          </w:tcPr>
          <w:p w14:paraId="61EE6B32"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Centre</w:t>
            </w:r>
          </w:p>
        </w:tc>
        <w:tc>
          <w:tcPr>
            <w:tcW w:w="669" w:type="dxa"/>
            <w:tcBorders>
              <w:top w:val="single" w:sz="4" w:space="0" w:color="000000"/>
              <w:bottom w:val="single" w:sz="4" w:space="0" w:color="000000"/>
              <w:right w:val="single" w:sz="4" w:space="0" w:color="000000"/>
            </w:tcBorders>
            <w:vAlign w:val="bottom"/>
            <w:hideMark/>
          </w:tcPr>
          <w:p w14:paraId="1293422C"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Total</w:t>
            </w:r>
          </w:p>
        </w:tc>
        <w:tc>
          <w:tcPr>
            <w:tcW w:w="613" w:type="dxa"/>
            <w:tcBorders>
              <w:top w:val="single" w:sz="4" w:space="0" w:color="000000"/>
              <w:bottom w:val="single" w:sz="4" w:space="0" w:color="000000"/>
              <w:right w:val="single" w:sz="4" w:space="0" w:color="000000"/>
            </w:tcBorders>
            <w:vAlign w:val="bottom"/>
            <w:hideMark/>
          </w:tcPr>
          <w:p w14:paraId="365E3FC4"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State/ UTs</w:t>
            </w:r>
          </w:p>
        </w:tc>
        <w:tc>
          <w:tcPr>
            <w:tcW w:w="446" w:type="dxa"/>
            <w:tcBorders>
              <w:top w:val="single" w:sz="4" w:space="0" w:color="000000"/>
              <w:bottom w:val="single" w:sz="4" w:space="0" w:color="000000"/>
              <w:right w:val="single" w:sz="4" w:space="0" w:color="000000"/>
            </w:tcBorders>
            <w:vAlign w:val="bottom"/>
            <w:hideMark/>
          </w:tcPr>
          <w:p w14:paraId="58C11B5E"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Centre</w:t>
            </w:r>
          </w:p>
        </w:tc>
        <w:tc>
          <w:tcPr>
            <w:tcW w:w="362" w:type="dxa"/>
            <w:tcBorders>
              <w:top w:val="single" w:sz="4" w:space="0" w:color="000000"/>
              <w:bottom w:val="single" w:sz="4" w:space="0" w:color="000000"/>
              <w:right w:val="single" w:sz="4" w:space="0" w:color="000000"/>
            </w:tcBorders>
            <w:vAlign w:val="bottom"/>
            <w:hideMark/>
          </w:tcPr>
          <w:p w14:paraId="0343C4D6"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Total</w:t>
            </w:r>
          </w:p>
        </w:tc>
      </w:tr>
      <w:tr w:rsidR="009B01C3" w:rsidRPr="0062796D" w14:paraId="36C155E9" w14:textId="77777777" w:rsidTr="009B01C3">
        <w:trPr>
          <w:trHeight w:val="130"/>
          <w:tblCellSpacing w:w="0" w:type="dxa"/>
        </w:trPr>
        <w:tc>
          <w:tcPr>
            <w:tcW w:w="1551" w:type="dxa"/>
            <w:tcBorders>
              <w:left w:val="single" w:sz="4" w:space="0" w:color="000000"/>
              <w:bottom w:val="single" w:sz="4" w:space="0" w:color="000000"/>
              <w:right w:val="single" w:sz="4" w:space="0" w:color="000000"/>
            </w:tcBorders>
            <w:vAlign w:val="bottom"/>
            <w:hideMark/>
          </w:tcPr>
          <w:p w14:paraId="733D8DFD" w14:textId="77777777" w:rsidR="009B01C3" w:rsidRPr="0062796D" w:rsidRDefault="009B01C3" w:rsidP="009B01C3">
            <w:pPr>
              <w:spacing w:after="0" w:line="130"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University &amp; Higher Education</w:t>
            </w:r>
          </w:p>
        </w:tc>
        <w:tc>
          <w:tcPr>
            <w:tcW w:w="753" w:type="dxa"/>
            <w:tcBorders>
              <w:bottom w:val="single" w:sz="4" w:space="0" w:color="000000"/>
            </w:tcBorders>
            <w:vAlign w:val="bottom"/>
            <w:hideMark/>
          </w:tcPr>
          <w:p w14:paraId="1B7D255D"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45571.69</w:t>
            </w:r>
          </w:p>
        </w:tc>
        <w:tc>
          <w:tcPr>
            <w:tcW w:w="56" w:type="dxa"/>
            <w:tcBorders>
              <w:bottom w:val="single" w:sz="4" w:space="0" w:color="000000"/>
              <w:right w:val="single" w:sz="4" w:space="0" w:color="000000"/>
            </w:tcBorders>
            <w:vAlign w:val="bottom"/>
            <w:hideMark/>
          </w:tcPr>
          <w:p w14:paraId="2B0F1D67"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669" w:type="dxa"/>
            <w:tcBorders>
              <w:bottom w:val="single" w:sz="4" w:space="0" w:color="000000"/>
              <w:right w:val="single" w:sz="4" w:space="0" w:color="000000"/>
            </w:tcBorders>
            <w:vAlign w:val="bottom"/>
            <w:hideMark/>
          </w:tcPr>
          <w:p w14:paraId="7DE7D03B"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25567.34</w:t>
            </w:r>
          </w:p>
        </w:tc>
        <w:tc>
          <w:tcPr>
            <w:tcW w:w="669" w:type="dxa"/>
            <w:tcBorders>
              <w:bottom w:val="single" w:sz="4" w:space="0" w:color="000000"/>
              <w:right w:val="single" w:sz="4" w:space="0" w:color="000000"/>
            </w:tcBorders>
            <w:vAlign w:val="bottom"/>
            <w:hideMark/>
          </w:tcPr>
          <w:p w14:paraId="412C6324"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71139.03</w:t>
            </w:r>
          </w:p>
        </w:tc>
        <w:tc>
          <w:tcPr>
            <w:tcW w:w="613" w:type="dxa"/>
            <w:tcBorders>
              <w:bottom w:val="single" w:sz="4" w:space="0" w:color="000000"/>
              <w:right w:val="single" w:sz="4" w:space="0" w:color="000000"/>
            </w:tcBorders>
            <w:vAlign w:val="bottom"/>
            <w:hideMark/>
          </w:tcPr>
          <w:p w14:paraId="5EE431B8"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0.40</w:t>
            </w:r>
          </w:p>
        </w:tc>
        <w:tc>
          <w:tcPr>
            <w:tcW w:w="446" w:type="dxa"/>
            <w:tcBorders>
              <w:bottom w:val="single" w:sz="4" w:space="0" w:color="000000"/>
              <w:right w:val="single" w:sz="4" w:space="0" w:color="000000"/>
            </w:tcBorders>
            <w:vAlign w:val="bottom"/>
            <w:hideMark/>
          </w:tcPr>
          <w:p w14:paraId="73545148"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0.23</w:t>
            </w:r>
          </w:p>
        </w:tc>
        <w:tc>
          <w:tcPr>
            <w:tcW w:w="362" w:type="dxa"/>
            <w:tcBorders>
              <w:bottom w:val="single" w:sz="4" w:space="0" w:color="000000"/>
              <w:right w:val="single" w:sz="4" w:space="0" w:color="000000"/>
            </w:tcBorders>
            <w:vAlign w:val="bottom"/>
            <w:hideMark/>
          </w:tcPr>
          <w:p w14:paraId="04BF3783"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0.63</w:t>
            </w:r>
          </w:p>
        </w:tc>
      </w:tr>
      <w:tr w:rsidR="009B01C3" w:rsidRPr="0062796D" w14:paraId="657FD20F" w14:textId="77777777" w:rsidTr="009B01C3">
        <w:trPr>
          <w:trHeight w:val="139"/>
          <w:tblCellSpacing w:w="0" w:type="dxa"/>
        </w:trPr>
        <w:tc>
          <w:tcPr>
            <w:tcW w:w="1551" w:type="dxa"/>
            <w:tcBorders>
              <w:left w:val="single" w:sz="4" w:space="0" w:color="000000"/>
              <w:bottom w:val="single" w:sz="4" w:space="0" w:color="000000"/>
              <w:right w:val="single" w:sz="4" w:space="0" w:color="000000"/>
            </w:tcBorders>
            <w:vAlign w:val="bottom"/>
            <w:hideMark/>
          </w:tcPr>
          <w:p w14:paraId="3209A3C3" w14:textId="77777777" w:rsidR="009B01C3" w:rsidRPr="0062796D" w:rsidRDefault="009B01C3" w:rsidP="009B01C3">
            <w:pPr>
              <w:spacing w:after="0" w:line="130"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Adult Education</w:t>
            </w:r>
          </w:p>
        </w:tc>
        <w:tc>
          <w:tcPr>
            <w:tcW w:w="753" w:type="dxa"/>
            <w:tcBorders>
              <w:bottom w:val="single" w:sz="4" w:space="0" w:color="000000"/>
            </w:tcBorders>
            <w:vAlign w:val="bottom"/>
            <w:hideMark/>
          </w:tcPr>
          <w:p w14:paraId="36DC3AB2"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637.42</w:t>
            </w:r>
          </w:p>
        </w:tc>
        <w:tc>
          <w:tcPr>
            <w:tcW w:w="56" w:type="dxa"/>
            <w:tcBorders>
              <w:bottom w:val="single" w:sz="4" w:space="0" w:color="000000"/>
              <w:right w:val="single" w:sz="4" w:space="0" w:color="000000"/>
            </w:tcBorders>
            <w:vAlign w:val="bottom"/>
            <w:hideMark/>
          </w:tcPr>
          <w:p w14:paraId="39C483C0"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669" w:type="dxa"/>
            <w:tcBorders>
              <w:bottom w:val="single" w:sz="4" w:space="0" w:color="000000"/>
              <w:right w:val="single" w:sz="4" w:space="0" w:color="000000"/>
            </w:tcBorders>
            <w:vAlign w:val="bottom"/>
            <w:hideMark/>
          </w:tcPr>
          <w:p w14:paraId="42FF225C"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686.65</w:t>
            </w:r>
          </w:p>
        </w:tc>
        <w:tc>
          <w:tcPr>
            <w:tcW w:w="669" w:type="dxa"/>
            <w:tcBorders>
              <w:bottom w:val="single" w:sz="4" w:space="0" w:color="000000"/>
              <w:right w:val="single" w:sz="4" w:space="0" w:color="000000"/>
            </w:tcBorders>
            <w:vAlign w:val="bottom"/>
            <w:hideMark/>
          </w:tcPr>
          <w:p w14:paraId="50D5F372"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1324.07</w:t>
            </w:r>
          </w:p>
        </w:tc>
        <w:tc>
          <w:tcPr>
            <w:tcW w:w="613" w:type="dxa"/>
            <w:tcBorders>
              <w:bottom w:val="single" w:sz="4" w:space="0" w:color="000000"/>
              <w:right w:val="single" w:sz="4" w:space="0" w:color="000000"/>
            </w:tcBorders>
            <w:vAlign w:val="bottom"/>
            <w:hideMark/>
          </w:tcPr>
          <w:p w14:paraId="3AE935F4"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0.01</w:t>
            </w:r>
          </w:p>
        </w:tc>
        <w:tc>
          <w:tcPr>
            <w:tcW w:w="446" w:type="dxa"/>
            <w:tcBorders>
              <w:bottom w:val="single" w:sz="4" w:space="0" w:color="000000"/>
              <w:right w:val="single" w:sz="4" w:space="0" w:color="000000"/>
            </w:tcBorders>
            <w:vAlign w:val="bottom"/>
            <w:hideMark/>
          </w:tcPr>
          <w:p w14:paraId="1FC7ADCE"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0.01</w:t>
            </w:r>
          </w:p>
        </w:tc>
        <w:tc>
          <w:tcPr>
            <w:tcW w:w="362" w:type="dxa"/>
            <w:tcBorders>
              <w:bottom w:val="single" w:sz="4" w:space="0" w:color="000000"/>
              <w:right w:val="single" w:sz="4" w:space="0" w:color="000000"/>
            </w:tcBorders>
            <w:vAlign w:val="bottom"/>
            <w:hideMark/>
          </w:tcPr>
          <w:p w14:paraId="4A637B59"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0.01</w:t>
            </w:r>
          </w:p>
        </w:tc>
      </w:tr>
      <w:tr w:rsidR="009B01C3" w:rsidRPr="0062796D" w14:paraId="4AABA8CB" w14:textId="77777777" w:rsidTr="009B01C3">
        <w:trPr>
          <w:trHeight w:val="139"/>
          <w:tblCellSpacing w:w="0" w:type="dxa"/>
        </w:trPr>
        <w:tc>
          <w:tcPr>
            <w:tcW w:w="1551" w:type="dxa"/>
            <w:tcBorders>
              <w:left w:val="single" w:sz="4" w:space="0" w:color="000000"/>
              <w:bottom w:val="single" w:sz="4" w:space="0" w:color="000000"/>
              <w:right w:val="single" w:sz="4" w:space="0" w:color="000000"/>
            </w:tcBorders>
            <w:vAlign w:val="bottom"/>
            <w:hideMark/>
          </w:tcPr>
          <w:p w14:paraId="73AA6349" w14:textId="77777777" w:rsidR="009B01C3" w:rsidRPr="0062796D" w:rsidRDefault="009B01C3" w:rsidP="009B01C3">
            <w:pPr>
              <w:spacing w:after="0" w:line="130"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Technical Education</w:t>
            </w:r>
          </w:p>
        </w:tc>
        <w:tc>
          <w:tcPr>
            <w:tcW w:w="753" w:type="dxa"/>
            <w:tcBorders>
              <w:bottom w:val="single" w:sz="4" w:space="0" w:color="000000"/>
            </w:tcBorders>
            <w:vAlign w:val="bottom"/>
            <w:hideMark/>
          </w:tcPr>
          <w:p w14:paraId="6AAFDF8D"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36320.90</w:t>
            </w:r>
          </w:p>
        </w:tc>
        <w:tc>
          <w:tcPr>
            <w:tcW w:w="56" w:type="dxa"/>
            <w:tcBorders>
              <w:bottom w:val="single" w:sz="4" w:space="0" w:color="000000"/>
              <w:right w:val="single" w:sz="4" w:space="0" w:color="000000"/>
            </w:tcBorders>
            <w:vAlign w:val="bottom"/>
            <w:hideMark/>
          </w:tcPr>
          <w:p w14:paraId="7820241F"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669" w:type="dxa"/>
            <w:tcBorders>
              <w:bottom w:val="single" w:sz="4" w:space="0" w:color="000000"/>
              <w:right w:val="single" w:sz="4" w:space="0" w:color="000000"/>
            </w:tcBorders>
            <w:vAlign w:val="bottom"/>
            <w:hideMark/>
          </w:tcPr>
          <w:p w14:paraId="0416BBCA"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33260.92</w:t>
            </w:r>
          </w:p>
        </w:tc>
        <w:tc>
          <w:tcPr>
            <w:tcW w:w="669" w:type="dxa"/>
            <w:tcBorders>
              <w:bottom w:val="single" w:sz="4" w:space="0" w:color="000000"/>
              <w:right w:val="single" w:sz="4" w:space="0" w:color="000000"/>
            </w:tcBorders>
            <w:vAlign w:val="bottom"/>
            <w:hideMark/>
          </w:tcPr>
          <w:p w14:paraId="772EF80A"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69581.82</w:t>
            </w:r>
          </w:p>
        </w:tc>
        <w:tc>
          <w:tcPr>
            <w:tcW w:w="613" w:type="dxa"/>
            <w:tcBorders>
              <w:bottom w:val="single" w:sz="4" w:space="0" w:color="000000"/>
              <w:right w:val="single" w:sz="4" w:space="0" w:color="000000"/>
            </w:tcBorders>
            <w:vAlign w:val="bottom"/>
            <w:hideMark/>
          </w:tcPr>
          <w:p w14:paraId="5FEE98A8"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0.32</w:t>
            </w:r>
          </w:p>
        </w:tc>
        <w:tc>
          <w:tcPr>
            <w:tcW w:w="446" w:type="dxa"/>
            <w:tcBorders>
              <w:bottom w:val="single" w:sz="4" w:space="0" w:color="000000"/>
              <w:right w:val="single" w:sz="4" w:space="0" w:color="000000"/>
            </w:tcBorders>
            <w:vAlign w:val="bottom"/>
            <w:hideMark/>
          </w:tcPr>
          <w:p w14:paraId="5F635D24"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0.30</w:t>
            </w:r>
          </w:p>
        </w:tc>
        <w:tc>
          <w:tcPr>
            <w:tcW w:w="362" w:type="dxa"/>
            <w:tcBorders>
              <w:bottom w:val="single" w:sz="4" w:space="0" w:color="000000"/>
              <w:right w:val="single" w:sz="4" w:space="0" w:color="000000"/>
            </w:tcBorders>
            <w:vAlign w:val="bottom"/>
            <w:hideMark/>
          </w:tcPr>
          <w:p w14:paraId="01F90E71"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0.62</w:t>
            </w:r>
          </w:p>
        </w:tc>
      </w:tr>
      <w:tr w:rsidR="009B01C3" w:rsidRPr="0062796D" w14:paraId="185F8A5B" w14:textId="77777777" w:rsidTr="009B01C3">
        <w:trPr>
          <w:trHeight w:val="130"/>
          <w:tblCellSpacing w:w="0" w:type="dxa"/>
        </w:trPr>
        <w:tc>
          <w:tcPr>
            <w:tcW w:w="1551" w:type="dxa"/>
            <w:tcBorders>
              <w:left w:val="single" w:sz="4" w:space="0" w:color="000000"/>
              <w:bottom w:val="single" w:sz="4" w:space="0" w:color="000000"/>
              <w:right w:val="single" w:sz="4" w:space="0" w:color="000000"/>
            </w:tcBorders>
            <w:vAlign w:val="bottom"/>
            <w:hideMark/>
          </w:tcPr>
          <w:p w14:paraId="36773FE0"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Total</w:t>
            </w:r>
          </w:p>
        </w:tc>
        <w:tc>
          <w:tcPr>
            <w:tcW w:w="753" w:type="dxa"/>
            <w:tcBorders>
              <w:bottom w:val="single" w:sz="4" w:space="0" w:color="000000"/>
            </w:tcBorders>
            <w:vAlign w:val="bottom"/>
            <w:hideMark/>
          </w:tcPr>
          <w:p w14:paraId="17DA53D6"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82530.01</w:t>
            </w:r>
          </w:p>
        </w:tc>
        <w:tc>
          <w:tcPr>
            <w:tcW w:w="56" w:type="dxa"/>
            <w:tcBorders>
              <w:bottom w:val="single" w:sz="4" w:space="0" w:color="000000"/>
              <w:right w:val="single" w:sz="4" w:space="0" w:color="000000"/>
            </w:tcBorders>
            <w:vAlign w:val="bottom"/>
            <w:hideMark/>
          </w:tcPr>
          <w:p w14:paraId="2DCEFBF4"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669" w:type="dxa"/>
            <w:tcBorders>
              <w:bottom w:val="single" w:sz="4" w:space="0" w:color="000000"/>
              <w:right w:val="single" w:sz="4" w:space="0" w:color="000000"/>
            </w:tcBorders>
            <w:vAlign w:val="bottom"/>
            <w:hideMark/>
          </w:tcPr>
          <w:p w14:paraId="78A496DB"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59514.91</w:t>
            </w:r>
          </w:p>
        </w:tc>
        <w:tc>
          <w:tcPr>
            <w:tcW w:w="669" w:type="dxa"/>
            <w:tcBorders>
              <w:bottom w:val="single" w:sz="4" w:space="0" w:color="000000"/>
              <w:right w:val="single" w:sz="4" w:space="0" w:color="000000"/>
            </w:tcBorders>
            <w:vAlign w:val="bottom"/>
            <w:hideMark/>
          </w:tcPr>
          <w:p w14:paraId="5D3C39E1"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142044.92</w:t>
            </w:r>
          </w:p>
        </w:tc>
        <w:tc>
          <w:tcPr>
            <w:tcW w:w="613" w:type="dxa"/>
            <w:tcBorders>
              <w:bottom w:val="single" w:sz="4" w:space="0" w:color="000000"/>
              <w:right w:val="single" w:sz="4" w:space="0" w:color="000000"/>
            </w:tcBorders>
            <w:vAlign w:val="bottom"/>
            <w:hideMark/>
          </w:tcPr>
          <w:p w14:paraId="6A856359"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0.73</w:t>
            </w:r>
          </w:p>
        </w:tc>
        <w:tc>
          <w:tcPr>
            <w:tcW w:w="446" w:type="dxa"/>
            <w:tcBorders>
              <w:bottom w:val="single" w:sz="4" w:space="0" w:color="000000"/>
              <w:right w:val="single" w:sz="4" w:space="0" w:color="000000"/>
            </w:tcBorders>
            <w:vAlign w:val="bottom"/>
            <w:hideMark/>
          </w:tcPr>
          <w:p w14:paraId="1A413BC7"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0.54</w:t>
            </w:r>
          </w:p>
        </w:tc>
        <w:tc>
          <w:tcPr>
            <w:tcW w:w="362" w:type="dxa"/>
            <w:tcBorders>
              <w:bottom w:val="single" w:sz="4" w:space="0" w:color="000000"/>
              <w:right w:val="single" w:sz="4" w:space="0" w:color="000000"/>
            </w:tcBorders>
            <w:vAlign w:val="bottom"/>
            <w:hideMark/>
          </w:tcPr>
          <w:p w14:paraId="539F1117"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1.26</w:t>
            </w:r>
          </w:p>
        </w:tc>
      </w:tr>
    </w:tbl>
    <w:p w14:paraId="244B8739" w14:textId="77777777" w:rsidR="009B01C3" w:rsidRPr="0062796D" w:rsidRDefault="009B01C3" w:rsidP="009B01C3">
      <w:pPr>
        <w:spacing w:before="28" w:after="0"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Given such a huge public expenditure on Government institutions of higher education, it was required on part of the Government to formulate a standard format of annual accounts and financial reporting &amp; disclosure standards for all the central funded institutions of higher education, keeping in view their specific requirements. Another special feature of Universities and other institutions of Higher Education is that these institutions carry out various Government(s) sponsored research projects and schemes, which require special accounting treatment and disclosures.</w:t>
      </w:r>
    </w:p>
    <w:p w14:paraId="3D3908A5" w14:textId="74E9BBDB" w:rsidR="009B01C3" w:rsidRPr="0062796D" w:rsidRDefault="009B01C3" w:rsidP="0062796D">
      <w:pPr>
        <w:spacing w:before="56" w:after="0"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 xml:space="preserve">These institutions frequently receive donations, contributions and endowments with some restriction and stipulations concerning utilization of these funds. These funds are thus applied and utilized in such predetermined manner in consonance </w:t>
      </w:r>
      <w:r w:rsidRPr="0062796D">
        <w:rPr>
          <w:rFonts w:ascii="Arial" w:eastAsia="Times New Roman" w:hAnsi="Arial" w:cs="Arial"/>
          <w:noProof w:val="0"/>
          <w:color w:val="000000"/>
          <w:sz w:val="24"/>
          <w:szCs w:val="24"/>
          <w:lang w:eastAsia="en-IN"/>
        </w:rPr>
        <w:lastRenderedPageBreak/>
        <w:t>with the prescribed stipulations. Such institutions also set aside or earmark a portion of their own income for some specific activities. All such funds constitute </w:t>
      </w:r>
      <w:r w:rsidRPr="0062796D">
        <w:rPr>
          <w:rFonts w:ascii="Arial" w:eastAsia="Times New Roman" w:hAnsi="Arial" w:cs="Arial"/>
          <w:i/>
          <w:iCs/>
          <w:noProof w:val="0"/>
          <w:color w:val="000000"/>
          <w:sz w:val="24"/>
          <w:szCs w:val="24"/>
          <w:lang w:eastAsia="en-IN"/>
        </w:rPr>
        <w:t>‘Restricted funds’ </w:t>
      </w:r>
      <w:r w:rsidRPr="0062796D">
        <w:rPr>
          <w:rFonts w:ascii="Arial" w:eastAsia="Times New Roman" w:hAnsi="Arial" w:cs="Arial"/>
          <w:noProof w:val="0"/>
          <w:color w:val="000000"/>
          <w:sz w:val="24"/>
          <w:szCs w:val="24"/>
          <w:lang w:eastAsia="en-IN"/>
        </w:rPr>
        <w:t>which require different accounting treatment, presentation, and disclosure in the</w:t>
      </w:r>
      <w:r w:rsidR="0062796D" w:rsidRPr="0062796D">
        <w:rPr>
          <w:rFonts w:ascii="Arial" w:eastAsia="Times New Roman" w:hAnsi="Arial" w:cs="Arial"/>
          <w:noProof w:val="0"/>
          <w:color w:val="000000"/>
          <w:sz w:val="24"/>
          <w:szCs w:val="24"/>
          <w:lang w:eastAsia="en-IN"/>
        </w:rPr>
        <w:t xml:space="preserve"> </w:t>
      </w:r>
      <w:r w:rsidRPr="0062796D">
        <w:rPr>
          <w:rFonts w:ascii="Arial" w:eastAsia="Times New Roman" w:hAnsi="Arial" w:cs="Arial"/>
          <w:noProof w:val="0"/>
          <w:color w:val="000000"/>
          <w:sz w:val="24"/>
          <w:szCs w:val="24"/>
          <w:lang w:eastAsia="en-IN"/>
        </w:rPr>
        <w:t xml:space="preserve">financial statements. Owing to these distinct and special features, there was </w:t>
      </w:r>
      <w:proofErr w:type="spellStart"/>
      <w:r w:rsidRPr="0062796D">
        <w:rPr>
          <w:rFonts w:ascii="Arial" w:eastAsia="Times New Roman" w:hAnsi="Arial" w:cs="Arial"/>
          <w:noProof w:val="0"/>
          <w:color w:val="000000"/>
          <w:sz w:val="24"/>
          <w:szCs w:val="24"/>
          <w:lang w:eastAsia="en-IN"/>
        </w:rPr>
        <w:t>aneed</w:t>
      </w:r>
      <w:proofErr w:type="spellEnd"/>
      <w:r w:rsidRPr="0062796D">
        <w:rPr>
          <w:rFonts w:ascii="Arial" w:eastAsia="Times New Roman" w:hAnsi="Arial" w:cs="Arial"/>
          <w:noProof w:val="0"/>
          <w:color w:val="000000"/>
          <w:sz w:val="24"/>
          <w:szCs w:val="24"/>
          <w:lang w:eastAsia="en-IN"/>
        </w:rPr>
        <w:t xml:space="preserve"> to formulate sound accounting and financial reporting framework, specific to the requirements of education sector.</w:t>
      </w:r>
    </w:p>
    <w:p w14:paraId="500D6633" w14:textId="77777777" w:rsidR="009B01C3" w:rsidRPr="0062796D" w:rsidRDefault="009B01C3" w:rsidP="009B01C3">
      <w:pPr>
        <w:spacing w:before="19" w:after="0" w:line="130" w:lineRule="atLeast"/>
        <w:ind w:firstLine="223"/>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In the above background, the Ministry of Human Resource Development (MHRD</w:t>
      </w:r>
      <w:proofErr w:type="gramStart"/>
      <w:r w:rsidRPr="0062796D">
        <w:rPr>
          <w:rFonts w:ascii="Arial" w:eastAsia="Times New Roman" w:hAnsi="Arial" w:cs="Arial"/>
          <w:noProof w:val="0"/>
          <w:color w:val="000000"/>
          <w:sz w:val="24"/>
          <w:szCs w:val="24"/>
          <w:lang w:eastAsia="en-IN"/>
        </w:rPr>
        <w:t>)in</w:t>
      </w:r>
      <w:proofErr w:type="gramEnd"/>
      <w:r w:rsidRPr="0062796D">
        <w:rPr>
          <w:rFonts w:ascii="Arial" w:eastAsia="Times New Roman" w:hAnsi="Arial" w:cs="Arial"/>
          <w:noProof w:val="0"/>
          <w:color w:val="000000"/>
          <w:sz w:val="24"/>
          <w:szCs w:val="24"/>
          <w:lang w:eastAsia="en-IN"/>
        </w:rPr>
        <w:t xml:space="preserve"> partnership with the Institute of chartered accountants of India (ICAI), New Delhi, constituted a working group. This group was tasked to formulate an appropriate method of accounting, a uniform reporting framework, application of sound accounting principles pertaining to recognition, measurement, and disclosure of various items of income &amp; expenses and assets &amp; liabilities in the financial statements of educational institutions, keeping in view the peculiarities of the activities of Institutions. After an extensive study and keeping in view the legislative environment governing the education sector, prevalent accounting and disclosure practices, and elements of financial statements specific to the education sector, on Jan 18, 2012, the working group submitted a detailed report and its recommendations. The recommendations of the group include1:</w:t>
      </w:r>
    </w:p>
    <w:p w14:paraId="2D169E93" w14:textId="77777777" w:rsidR="009B01C3" w:rsidRPr="0062796D" w:rsidRDefault="009B01C3" w:rsidP="009B01C3">
      <w:pPr>
        <w:spacing w:after="0" w:line="139" w:lineRule="atLeast"/>
        <w:rPr>
          <w:rFonts w:ascii="Arial" w:eastAsia="Times New Roman" w:hAnsi="Arial" w:cs="Arial"/>
          <w:noProof w:val="0"/>
          <w:color w:val="000000"/>
          <w:sz w:val="24"/>
          <w:szCs w:val="24"/>
          <w:lang w:eastAsia="en-IN"/>
        </w:rPr>
      </w:pPr>
      <w:r w:rsidRPr="0062796D">
        <w:rPr>
          <w:rFonts w:ascii="Times New Roman" w:eastAsia="Times New Roman" w:hAnsi="Times New Roman" w:cs="Times New Roman"/>
          <w:noProof w:val="0"/>
          <w:color w:val="000000"/>
          <w:sz w:val="24"/>
          <w:szCs w:val="24"/>
          <w:lang w:eastAsia="en-IN"/>
        </w:rPr>
        <w:t>∙</w:t>
      </w:r>
      <w:r w:rsidRPr="0062796D">
        <w:rPr>
          <w:rFonts w:ascii="Arial" w:eastAsia="Times New Roman" w:hAnsi="Arial" w:cs="Arial"/>
          <w:noProof w:val="0"/>
          <w:color w:val="000000"/>
          <w:sz w:val="24"/>
          <w:szCs w:val="24"/>
          <w:lang w:eastAsia="en-IN"/>
        </w:rPr>
        <w:t>All educational institutions should be mandated to apply accrual basis of accounting.</w:t>
      </w:r>
    </w:p>
    <w:p w14:paraId="57CE4465" w14:textId="77777777" w:rsidR="009B01C3" w:rsidRPr="0062796D" w:rsidRDefault="009B01C3" w:rsidP="009B01C3">
      <w:pPr>
        <w:spacing w:after="0" w:line="130" w:lineRule="atLeast"/>
        <w:rPr>
          <w:rFonts w:ascii="Arial" w:eastAsia="Times New Roman" w:hAnsi="Arial" w:cs="Arial"/>
          <w:noProof w:val="0"/>
          <w:color w:val="000000"/>
          <w:sz w:val="24"/>
          <w:szCs w:val="24"/>
          <w:lang w:eastAsia="en-IN"/>
        </w:rPr>
      </w:pPr>
      <w:r w:rsidRPr="0062796D">
        <w:rPr>
          <w:rFonts w:ascii="Times New Roman" w:eastAsia="Times New Roman" w:hAnsi="Times New Roman" w:cs="Times New Roman"/>
          <w:noProof w:val="0"/>
          <w:color w:val="000000"/>
          <w:sz w:val="24"/>
          <w:szCs w:val="24"/>
          <w:lang w:eastAsia="en-IN"/>
        </w:rPr>
        <w:t>∙</w:t>
      </w:r>
      <w:r w:rsidRPr="0062796D">
        <w:rPr>
          <w:rFonts w:ascii="Arial" w:eastAsia="Times New Roman" w:hAnsi="Arial" w:cs="Arial"/>
          <w:noProof w:val="0"/>
          <w:color w:val="000000"/>
          <w:sz w:val="24"/>
          <w:szCs w:val="24"/>
          <w:lang w:eastAsia="en-IN"/>
        </w:rPr>
        <w:t>Accounting standards issued by the ICAI should be made mandatory to educational institutions.</w:t>
      </w:r>
    </w:p>
    <w:p w14:paraId="1F22AC1D" w14:textId="77777777" w:rsidR="009B01C3" w:rsidRPr="0062796D" w:rsidRDefault="009B01C3" w:rsidP="009B01C3">
      <w:pPr>
        <w:spacing w:after="0" w:line="130" w:lineRule="atLeast"/>
        <w:ind w:hanging="446"/>
        <w:rPr>
          <w:rFonts w:ascii="Arial" w:eastAsia="Times New Roman" w:hAnsi="Arial" w:cs="Arial"/>
          <w:noProof w:val="0"/>
          <w:color w:val="000000"/>
          <w:sz w:val="24"/>
          <w:szCs w:val="24"/>
          <w:lang w:eastAsia="en-IN"/>
        </w:rPr>
      </w:pPr>
      <w:r w:rsidRPr="0062796D">
        <w:rPr>
          <w:rFonts w:ascii="Times New Roman" w:eastAsia="Times New Roman" w:hAnsi="Times New Roman" w:cs="Times New Roman"/>
          <w:noProof w:val="0"/>
          <w:color w:val="000000"/>
          <w:sz w:val="24"/>
          <w:szCs w:val="24"/>
          <w:lang w:eastAsia="en-IN"/>
        </w:rPr>
        <w:t>∙</w:t>
      </w:r>
      <w:r w:rsidRPr="0062796D">
        <w:rPr>
          <w:rFonts w:ascii="Arial" w:eastAsia="Times New Roman" w:hAnsi="Arial" w:cs="Arial"/>
          <w:noProof w:val="0"/>
          <w:color w:val="000000"/>
          <w:sz w:val="24"/>
          <w:szCs w:val="24"/>
          <w:lang w:eastAsia="en-IN"/>
        </w:rPr>
        <w:t>Fund based accounting may be introduced to ensure appropriate use of Earmarked funds by the institution.</w:t>
      </w:r>
    </w:p>
    <w:p w14:paraId="10318AB6" w14:textId="77777777" w:rsidR="009B01C3" w:rsidRPr="0062796D" w:rsidRDefault="009B01C3" w:rsidP="009B01C3">
      <w:pPr>
        <w:spacing w:after="0" w:line="139" w:lineRule="atLeast"/>
        <w:jc w:val="both"/>
        <w:rPr>
          <w:rFonts w:ascii="Arial" w:eastAsia="Times New Roman" w:hAnsi="Arial" w:cs="Arial"/>
          <w:b/>
          <w:bCs/>
          <w:noProof w:val="0"/>
          <w:color w:val="000000"/>
          <w:sz w:val="24"/>
          <w:szCs w:val="24"/>
          <w:lang w:eastAsia="en-IN"/>
        </w:rPr>
      </w:pPr>
      <w:r w:rsidRPr="0062796D">
        <w:rPr>
          <w:rFonts w:ascii="Arial" w:eastAsia="Times New Roman" w:hAnsi="Arial" w:cs="Arial"/>
          <w:b/>
          <w:bCs/>
          <w:noProof w:val="0"/>
          <w:color w:val="000000"/>
          <w:sz w:val="24"/>
          <w:szCs w:val="24"/>
          <w:lang w:eastAsia="en-IN"/>
        </w:rPr>
        <w:t>Devising and Notification of Common Financial Reporting Format and Accounting Standards, Entirely Oriented Towards the Distinctive Requirements of GIHE</w:t>
      </w:r>
    </w:p>
    <w:p w14:paraId="57A3281B" w14:textId="77777777" w:rsidR="009B01C3" w:rsidRPr="0062796D" w:rsidRDefault="009B01C3" w:rsidP="009B01C3">
      <w:pPr>
        <w:spacing w:after="0" w:line="130" w:lineRule="atLeast"/>
        <w:ind w:firstLine="446"/>
        <w:jc w:val="both"/>
        <w:rPr>
          <w:rFonts w:ascii="Arial" w:eastAsia="Times New Roman" w:hAnsi="Arial" w:cs="Arial"/>
          <w:noProof w:val="0"/>
          <w:color w:val="000000"/>
          <w:sz w:val="24"/>
          <w:szCs w:val="24"/>
          <w:lang w:eastAsia="en-IN"/>
        </w:rPr>
      </w:pPr>
      <w:proofErr w:type="gramStart"/>
      <w:r w:rsidRPr="0062796D">
        <w:rPr>
          <w:rFonts w:ascii="Arial" w:eastAsia="Times New Roman" w:hAnsi="Arial" w:cs="Arial"/>
          <w:noProof w:val="0"/>
          <w:color w:val="000000"/>
          <w:sz w:val="24"/>
          <w:szCs w:val="24"/>
          <w:lang w:eastAsia="en-IN"/>
        </w:rPr>
        <w:t>Based on the recommendations of the fore mentioned working group, MHRD in the month of April 2015 notified2a standard common format for presentation of financial statements of Central Higher education Institutions.</w:t>
      </w:r>
      <w:proofErr w:type="gramEnd"/>
      <w:r w:rsidRPr="0062796D">
        <w:rPr>
          <w:rFonts w:ascii="Arial" w:eastAsia="Times New Roman" w:hAnsi="Arial" w:cs="Arial"/>
          <w:noProof w:val="0"/>
          <w:color w:val="000000"/>
          <w:sz w:val="24"/>
          <w:szCs w:val="24"/>
          <w:lang w:eastAsia="en-IN"/>
        </w:rPr>
        <w:t xml:space="preserve"> Accounting Standards issued by the Institute of Chartered Accountants of India (ICAI), with certain exceptions, were made applicable to meet the requirements of all stakeholders. Such common formats aimed to bring not only uniformity and comparability of financial statements of different institutions, but also to promote accountability and transparency. Some special characteristics of this standard format are as follows.</w:t>
      </w:r>
    </w:p>
    <w:p w14:paraId="2946724B" w14:textId="77777777" w:rsidR="009B01C3" w:rsidRPr="0062796D" w:rsidRDefault="009B01C3" w:rsidP="009B01C3">
      <w:pPr>
        <w:spacing w:after="0" w:line="139" w:lineRule="atLeast"/>
        <w:rPr>
          <w:rFonts w:ascii="Arial" w:eastAsia="Times New Roman" w:hAnsi="Arial" w:cs="Arial"/>
          <w:b/>
          <w:bCs/>
          <w:noProof w:val="0"/>
          <w:color w:val="000000"/>
          <w:sz w:val="24"/>
          <w:szCs w:val="24"/>
          <w:lang w:eastAsia="en-IN"/>
        </w:rPr>
      </w:pPr>
      <w:r w:rsidRPr="0062796D">
        <w:rPr>
          <w:rFonts w:ascii="Arial" w:eastAsia="Times New Roman" w:hAnsi="Arial" w:cs="Arial"/>
          <w:b/>
          <w:bCs/>
          <w:noProof w:val="0"/>
          <w:color w:val="000000"/>
          <w:sz w:val="24"/>
          <w:szCs w:val="24"/>
          <w:lang w:eastAsia="en-IN"/>
        </w:rPr>
        <w:t>Fund Based Accounting and Reporting</w:t>
      </w:r>
    </w:p>
    <w:p w14:paraId="0E9B82F6" w14:textId="77777777" w:rsidR="009B01C3" w:rsidRPr="0062796D" w:rsidRDefault="009B01C3" w:rsidP="009B01C3">
      <w:pPr>
        <w:spacing w:line="121"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The educational institutions generally receive funds and contributions for some specified purposes. E.g., a person may donate a lump sum amount to an Institution to create an endowment, the income of which is to be utilized for payment of award of scholarship to meritorious students. In other case, a donor may make a contribution to an Institution for utilization towards the construction of a building or a laboratory, etc. In some cases an Institution may on its own earmark a portion of its own funds for utilization towards some specific objectives, such as construction of buildings, financial assistance to research scholars, to name a few. Accordingly, such restricted/earmarked funds and contributions are applied for the specified purposes and objectives only. The accounting treatment of receipt and application of such funds is not similar to that of other (unrestricted) income and expenditure of the organisation. In order to enable the concerned stake holders to have a true and fair view of the receipt, application and unutilized balance of the restricted/earmarked funds, the standard format has prescribed a separate schedule to reflect the state of affairs of such funds as follows:</w:t>
      </w:r>
    </w:p>
    <w:tbl>
      <w:tblPr>
        <w:tblW w:w="5193" w:type="dxa"/>
        <w:tblCellSpacing w:w="0" w:type="dxa"/>
        <w:tblCellMar>
          <w:left w:w="0" w:type="dxa"/>
          <w:right w:w="0" w:type="dxa"/>
        </w:tblCellMar>
        <w:tblLook w:val="04A0" w:firstRow="1" w:lastRow="0" w:firstColumn="1" w:lastColumn="0" w:noHBand="0" w:noVBand="1"/>
      </w:tblPr>
      <w:tblGrid>
        <w:gridCol w:w="67"/>
        <w:gridCol w:w="491"/>
        <w:gridCol w:w="2446"/>
        <w:gridCol w:w="1115"/>
        <w:gridCol w:w="1007"/>
        <w:gridCol w:w="67"/>
      </w:tblGrid>
      <w:tr w:rsidR="009B01C3" w:rsidRPr="0062796D" w14:paraId="7C513707" w14:textId="77777777" w:rsidTr="009B01C3">
        <w:trPr>
          <w:trHeight w:val="195"/>
          <w:tblCellSpacing w:w="0" w:type="dxa"/>
        </w:trPr>
        <w:tc>
          <w:tcPr>
            <w:tcW w:w="9" w:type="dxa"/>
            <w:vAlign w:val="bottom"/>
            <w:hideMark/>
          </w:tcPr>
          <w:p w14:paraId="7EFBD76D"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lastRenderedPageBreak/>
              <w:t> </w:t>
            </w:r>
          </w:p>
        </w:tc>
        <w:tc>
          <w:tcPr>
            <w:tcW w:w="502" w:type="dxa"/>
            <w:vAlign w:val="bottom"/>
            <w:hideMark/>
          </w:tcPr>
          <w:p w14:paraId="1E847C6B"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499" w:type="dxa"/>
            <w:vAlign w:val="bottom"/>
            <w:hideMark/>
          </w:tcPr>
          <w:p w14:paraId="5BA5C63F" w14:textId="77777777" w:rsidR="009B01C3" w:rsidRPr="0062796D" w:rsidRDefault="009B01C3" w:rsidP="009B01C3">
            <w:pPr>
              <w:spacing w:after="0" w:line="139"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Table 4</w:t>
            </w:r>
          </w:p>
        </w:tc>
        <w:tc>
          <w:tcPr>
            <w:tcW w:w="1143" w:type="dxa"/>
            <w:vAlign w:val="bottom"/>
            <w:hideMark/>
          </w:tcPr>
          <w:p w14:paraId="01B353A1"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1" w:type="dxa"/>
            <w:vAlign w:val="bottom"/>
            <w:hideMark/>
          </w:tcPr>
          <w:p w14:paraId="579BFAD0"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9" w:type="dxa"/>
            <w:vAlign w:val="bottom"/>
            <w:hideMark/>
          </w:tcPr>
          <w:p w14:paraId="15F1E7AB"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17A290B5" w14:textId="77777777" w:rsidTr="0062796D">
        <w:trPr>
          <w:trHeight w:val="425"/>
          <w:tblCellSpacing w:w="0" w:type="dxa"/>
        </w:trPr>
        <w:tc>
          <w:tcPr>
            <w:tcW w:w="9" w:type="dxa"/>
            <w:vAlign w:val="bottom"/>
            <w:hideMark/>
          </w:tcPr>
          <w:p w14:paraId="52B8F251" w14:textId="77777777" w:rsidR="009B01C3" w:rsidRPr="0062796D" w:rsidRDefault="009B01C3" w:rsidP="009B01C3">
            <w:pPr>
              <w:spacing w:after="0" w:line="37"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502" w:type="dxa"/>
            <w:tcBorders>
              <w:bottom w:val="single" w:sz="4" w:space="0" w:color="000000"/>
            </w:tcBorders>
            <w:vAlign w:val="bottom"/>
            <w:hideMark/>
          </w:tcPr>
          <w:p w14:paraId="1C34E120" w14:textId="77777777" w:rsidR="009B01C3" w:rsidRPr="0062796D" w:rsidRDefault="009B01C3" w:rsidP="009B01C3">
            <w:pPr>
              <w:spacing w:after="0" w:line="28"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499" w:type="dxa"/>
            <w:tcBorders>
              <w:bottom w:val="single" w:sz="4" w:space="0" w:color="000000"/>
            </w:tcBorders>
            <w:vAlign w:val="bottom"/>
            <w:hideMark/>
          </w:tcPr>
          <w:p w14:paraId="33AD37FB" w14:textId="77777777" w:rsidR="009B01C3" w:rsidRPr="0062796D" w:rsidRDefault="009B01C3" w:rsidP="009B01C3">
            <w:pPr>
              <w:spacing w:after="0" w:line="28"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143" w:type="dxa"/>
            <w:tcBorders>
              <w:bottom w:val="single" w:sz="4" w:space="0" w:color="000000"/>
            </w:tcBorders>
            <w:vAlign w:val="bottom"/>
            <w:hideMark/>
          </w:tcPr>
          <w:p w14:paraId="17496A3C" w14:textId="77777777" w:rsidR="009B01C3" w:rsidRPr="0062796D" w:rsidRDefault="009B01C3" w:rsidP="009B01C3">
            <w:pPr>
              <w:spacing w:after="0" w:line="28"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1" w:type="dxa"/>
            <w:tcBorders>
              <w:bottom w:val="single" w:sz="4" w:space="0" w:color="000000"/>
            </w:tcBorders>
            <w:vAlign w:val="bottom"/>
            <w:hideMark/>
          </w:tcPr>
          <w:p w14:paraId="767D2F4C" w14:textId="77777777" w:rsidR="009B01C3" w:rsidRPr="0062796D" w:rsidRDefault="009B01C3" w:rsidP="009B01C3">
            <w:pPr>
              <w:spacing w:after="0" w:line="28"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9" w:type="dxa"/>
            <w:vAlign w:val="bottom"/>
            <w:hideMark/>
          </w:tcPr>
          <w:p w14:paraId="3B8C7CF5" w14:textId="77777777" w:rsidR="009B01C3" w:rsidRPr="0062796D" w:rsidRDefault="009B01C3" w:rsidP="009B01C3">
            <w:pPr>
              <w:spacing w:after="0" w:line="37"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7CC24594" w14:textId="77777777" w:rsidTr="009B01C3">
        <w:trPr>
          <w:trHeight w:val="19"/>
          <w:tblCellSpacing w:w="0" w:type="dxa"/>
        </w:trPr>
        <w:tc>
          <w:tcPr>
            <w:tcW w:w="9" w:type="dxa"/>
            <w:vAlign w:val="bottom"/>
            <w:hideMark/>
          </w:tcPr>
          <w:p w14:paraId="52963117" w14:textId="77777777" w:rsidR="009B01C3" w:rsidRPr="0062796D" w:rsidRDefault="009B01C3" w:rsidP="009B01C3">
            <w:pPr>
              <w:spacing w:after="0" w:line="1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502" w:type="dxa"/>
            <w:vMerge w:val="restart"/>
            <w:tcBorders>
              <w:bottom w:val="single" w:sz="4" w:space="0" w:color="000000"/>
            </w:tcBorders>
            <w:vAlign w:val="bottom"/>
            <w:hideMark/>
          </w:tcPr>
          <w:p w14:paraId="66E6282E" w14:textId="77777777" w:rsidR="009B01C3" w:rsidRPr="0062796D" w:rsidRDefault="009B01C3" w:rsidP="009B01C3">
            <w:pPr>
              <w:spacing w:after="0" w:line="19"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1</w:t>
            </w:r>
          </w:p>
        </w:tc>
        <w:tc>
          <w:tcPr>
            <w:tcW w:w="2499" w:type="dxa"/>
            <w:vMerge w:val="restart"/>
            <w:tcBorders>
              <w:bottom w:val="single" w:sz="4" w:space="0" w:color="000000"/>
            </w:tcBorders>
            <w:vAlign w:val="bottom"/>
            <w:hideMark/>
          </w:tcPr>
          <w:p w14:paraId="26A04AF9" w14:textId="77777777" w:rsidR="009B01C3" w:rsidRPr="0062796D" w:rsidRDefault="009B01C3" w:rsidP="009B01C3">
            <w:pPr>
              <w:spacing w:after="0" w:line="1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Opening Balance</w:t>
            </w:r>
          </w:p>
        </w:tc>
        <w:tc>
          <w:tcPr>
            <w:tcW w:w="1143" w:type="dxa"/>
            <w:vAlign w:val="bottom"/>
            <w:hideMark/>
          </w:tcPr>
          <w:p w14:paraId="6E68F943" w14:textId="77777777" w:rsidR="009B01C3" w:rsidRPr="0062796D" w:rsidRDefault="009B01C3" w:rsidP="009B01C3">
            <w:pPr>
              <w:spacing w:after="0" w:line="1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1" w:type="dxa"/>
            <w:vMerge w:val="restart"/>
            <w:tcBorders>
              <w:bottom w:val="single" w:sz="4" w:space="0" w:color="000000"/>
            </w:tcBorders>
            <w:vAlign w:val="bottom"/>
            <w:hideMark/>
          </w:tcPr>
          <w:p w14:paraId="4C2F7221" w14:textId="77777777" w:rsidR="009B01C3" w:rsidRPr="0062796D" w:rsidRDefault="009B01C3" w:rsidP="009B01C3">
            <w:pPr>
              <w:spacing w:after="0" w:line="19" w:lineRule="atLeast"/>
              <w:rPr>
                <w:rFonts w:ascii="Arial" w:eastAsia="Times New Roman" w:hAnsi="Arial" w:cs="Arial"/>
                <w:noProof w:val="0"/>
                <w:sz w:val="24"/>
                <w:szCs w:val="24"/>
                <w:lang w:eastAsia="en-IN"/>
              </w:rPr>
            </w:pPr>
            <w:proofErr w:type="spellStart"/>
            <w:r w:rsidRPr="0062796D">
              <w:rPr>
                <w:rFonts w:ascii="Arial" w:eastAsia="Times New Roman" w:hAnsi="Arial" w:cs="Arial"/>
                <w:noProof w:val="0"/>
                <w:sz w:val="24"/>
                <w:szCs w:val="24"/>
                <w:lang w:eastAsia="en-IN"/>
              </w:rPr>
              <w:t>xxxx</w:t>
            </w:r>
            <w:proofErr w:type="spellEnd"/>
          </w:p>
        </w:tc>
        <w:tc>
          <w:tcPr>
            <w:tcW w:w="9" w:type="dxa"/>
            <w:vAlign w:val="bottom"/>
            <w:hideMark/>
          </w:tcPr>
          <w:p w14:paraId="533A4051" w14:textId="77777777" w:rsidR="009B01C3" w:rsidRPr="0062796D" w:rsidRDefault="009B01C3" w:rsidP="009B01C3">
            <w:pPr>
              <w:spacing w:after="0" w:line="1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60F96D5A" w14:textId="77777777" w:rsidTr="009B01C3">
        <w:trPr>
          <w:trHeight w:val="111"/>
          <w:tblCellSpacing w:w="0" w:type="dxa"/>
        </w:trPr>
        <w:tc>
          <w:tcPr>
            <w:tcW w:w="9" w:type="dxa"/>
            <w:shd w:val="clear" w:color="auto" w:fill="000000"/>
            <w:vAlign w:val="bottom"/>
            <w:hideMark/>
          </w:tcPr>
          <w:p w14:paraId="43F43D05" w14:textId="77777777" w:rsidR="009B01C3" w:rsidRPr="0062796D" w:rsidRDefault="009B01C3" w:rsidP="009B01C3">
            <w:pPr>
              <w:spacing w:after="0" w:line="11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0" w:type="auto"/>
            <w:vMerge/>
            <w:tcBorders>
              <w:bottom w:val="single" w:sz="4" w:space="0" w:color="000000"/>
            </w:tcBorders>
            <w:vAlign w:val="center"/>
            <w:hideMark/>
          </w:tcPr>
          <w:p w14:paraId="0BD5C535" w14:textId="77777777" w:rsidR="009B01C3" w:rsidRPr="0062796D" w:rsidRDefault="009B01C3" w:rsidP="009B01C3">
            <w:pPr>
              <w:spacing w:after="0" w:line="240" w:lineRule="auto"/>
              <w:rPr>
                <w:rFonts w:ascii="Arial" w:eastAsia="Times New Roman" w:hAnsi="Arial" w:cs="Arial"/>
                <w:noProof w:val="0"/>
                <w:sz w:val="24"/>
                <w:szCs w:val="24"/>
                <w:lang w:eastAsia="en-IN"/>
              </w:rPr>
            </w:pPr>
          </w:p>
        </w:tc>
        <w:tc>
          <w:tcPr>
            <w:tcW w:w="0" w:type="auto"/>
            <w:vMerge/>
            <w:tcBorders>
              <w:bottom w:val="single" w:sz="4" w:space="0" w:color="000000"/>
            </w:tcBorders>
            <w:vAlign w:val="center"/>
            <w:hideMark/>
          </w:tcPr>
          <w:p w14:paraId="22FB344F" w14:textId="77777777" w:rsidR="009B01C3" w:rsidRPr="0062796D" w:rsidRDefault="009B01C3" w:rsidP="009B01C3">
            <w:pPr>
              <w:spacing w:after="0" w:line="240" w:lineRule="auto"/>
              <w:rPr>
                <w:rFonts w:ascii="Arial" w:eastAsia="Times New Roman" w:hAnsi="Arial" w:cs="Arial"/>
                <w:noProof w:val="0"/>
                <w:sz w:val="24"/>
                <w:szCs w:val="24"/>
                <w:lang w:eastAsia="en-IN"/>
              </w:rPr>
            </w:pPr>
          </w:p>
        </w:tc>
        <w:tc>
          <w:tcPr>
            <w:tcW w:w="1124" w:type="dxa"/>
            <w:tcBorders>
              <w:left w:val="single" w:sz="4" w:space="0" w:color="000000"/>
              <w:bottom w:val="single" w:sz="4" w:space="0" w:color="000000"/>
              <w:right w:val="single" w:sz="4" w:space="0" w:color="000000"/>
            </w:tcBorders>
            <w:vAlign w:val="bottom"/>
            <w:hideMark/>
          </w:tcPr>
          <w:p w14:paraId="1A127B11" w14:textId="77777777" w:rsidR="009B01C3" w:rsidRPr="0062796D" w:rsidRDefault="009B01C3" w:rsidP="009B01C3">
            <w:pPr>
              <w:spacing w:after="0" w:line="102"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0" w:type="auto"/>
            <w:vMerge/>
            <w:tcBorders>
              <w:bottom w:val="single" w:sz="4" w:space="0" w:color="000000"/>
            </w:tcBorders>
            <w:vAlign w:val="center"/>
            <w:hideMark/>
          </w:tcPr>
          <w:p w14:paraId="5207EFC6" w14:textId="77777777" w:rsidR="009B01C3" w:rsidRPr="0062796D" w:rsidRDefault="009B01C3" w:rsidP="009B01C3">
            <w:pPr>
              <w:spacing w:after="0" w:line="240" w:lineRule="auto"/>
              <w:rPr>
                <w:rFonts w:ascii="Arial" w:eastAsia="Times New Roman" w:hAnsi="Arial" w:cs="Arial"/>
                <w:noProof w:val="0"/>
                <w:sz w:val="24"/>
                <w:szCs w:val="24"/>
                <w:lang w:eastAsia="en-IN"/>
              </w:rPr>
            </w:pPr>
          </w:p>
        </w:tc>
        <w:tc>
          <w:tcPr>
            <w:tcW w:w="9" w:type="dxa"/>
            <w:shd w:val="clear" w:color="auto" w:fill="000000"/>
            <w:vAlign w:val="bottom"/>
            <w:hideMark/>
          </w:tcPr>
          <w:p w14:paraId="15866C67" w14:textId="77777777" w:rsidR="009B01C3" w:rsidRPr="0062796D" w:rsidRDefault="009B01C3" w:rsidP="009B01C3">
            <w:pPr>
              <w:spacing w:after="0" w:line="11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6A91B971" w14:textId="77777777" w:rsidTr="009B01C3">
        <w:trPr>
          <w:trHeight w:val="121"/>
          <w:tblCellSpacing w:w="0" w:type="dxa"/>
        </w:trPr>
        <w:tc>
          <w:tcPr>
            <w:tcW w:w="9" w:type="dxa"/>
            <w:shd w:val="clear" w:color="auto" w:fill="000000"/>
            <w:vAlign w:val="bottom"/>
            <w:hideMark/>
          </w:tcPr>
          <w:p w14:paraId="5BE50FE7"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502" w:type="dxa"/>
            <w:vAlign w:val="bottom"/>
            <w:hideMark/>
          </w:tcPr>
          <w:p w14:paraId="7D9FF492" w14:textId="77777777" w:rsidR="009B01C3" w:rsidRPr="0062796D" w:rsidRDefault="009B01C3" w:rsidP="009B01C3">
            <w:pPr>
              <w:spacing w:after="0" w:line="121"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2</w:t>
            </w:r>
          </w:p>
        </w:tc>
        <w:tc>
          <w:tcPr>
            <w:tcW w:w="2499" w:type="dxa"/>
            <w:vAlign w:val="bottom"/>
            <w:hideMark/>
          </w:tcPr>
          <w:p w14:paraId="7C767534" w14:textId="77777777" w:rsidR="009B01C3" w:rsidRPr="0062796D" w:rsidRDefault="009B01C3" w:rsidP="009B01C3">
            <w:pPr>
              <w:spacing w:after="0" w:line="12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Additions during the year</w:t>
            </w:r>
          </w:p>
        </w:tc>
        <w:tc>
          <w:tcPr>
            <w:tcW w:w="1124" w:type="dxa"/>
            <w:tcBorders>
              <w:left w:val="single" w:sz="4" w:space="0" w:color="000000"/>
              <w:right w:val="single" w:sz="4" w:space="0" w:color="000000"/>
            </w:tcBorders>
            <w:vAlign w:val="bottom"/>
            <w:hideMark/>
          </w:tcPr>
          <w:p w14:paraId="677B48F2"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1" w:type="dxa"/>
            <w:vAlign w:val="bottom"/>
            <w:hideMark/>
          </w:tcPr>
          <w:p w14:paraId="7FAA4BE5"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9" w:type="dxa"/>
            <w:shd w:val="clear" w:color="auto" w:fill="000000"/>
            <w:vAlign w:val="bottom"/>
            <w:hideMark/>
          </w:tcPr>
          <w:p w14:paraId="432E842E"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69C33223" w14:textId="77777777" w:rsidTr="009B01C3">
        <w:trPr>
          <w:trHeight w:val="139"/>
          <w:tblCellSpacing w:w="0" w:type="dxa"/>
        </w:trPr>
        <w:tc>
          <w:tcPr>
            <w:tcW w:w="9" w:type="dxa"/>
            <w:shd w:val="clear" w:color="auto" w:fill="000000"/>
            <w:vAlign w:val="bottom"/>
            <w:hideMark/>
          </w:tcPr>
          <w:p w14:paraId="738410FE"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502" w:type="dxa"/>
            <w:vAlign w:val="bottom"/>
            <w:hideMark/>
          </w:tcPr>
          <w:p w14:paraId="2C8CE486" w14:textId="77777777" w:rsidR="009B01C3" w:rsidRPr="0062796D" w:rsidRDefault="009B01C3" w:rsidP="009B01C3">
            <w:pPr>
              <w:spacing w:after="0" w:line="139"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i.)</w:t>
            </w:r>
          </w:p>
        </w:tc>
        <w:tc>
          <w:tcPr>
            <w:tcW w:w="2499" w:type="dxa"/>
            <w:vAlign w:val="bottom"/>
            <w:hideMark/>
          </w:tcPr>
          <w:p w14:paraId="3427B316" w14:textId="77777777" w:rsidR="009B01C3" w:rsidRPr="0062796D" w:rsidRDefault="009B01C3" w:rsidP="009B01C3">
            <w:pPr>
              <w:spacing w:after="0" w:line="13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New Contribution</w:t>
            </w:r>
          </w:p>
        </w:tc>
        <w:tc>
          <w:tcPr>
            <w:tcW w:w="1124" w:type="dxa"/>
            <w:tcBorders>
              <w:left w:val="single" w:sz="4" w:space="0" w:color="000000"/>
              <w:right w:val="single" w:sz="4" w:space="0" w:color="000000"/>
            </w:tcBorders>
            <w:vAlign w:val="bottom"/>
            <w:hideMark/>
          </w:tcPr>
          <w:p w14:paraId="720E14A0" w14:textId="77777777" w:rsidR="009B01C3" w:rsidRPr="0062796D" w:rsidRDefault="009B01C3" w:rsidP="009B01C3">
            <w:pPr>
              <w:spacing w:after="0" w:line="139" w:lineRule="atLeast"/>
              <w:rPr>
                <w:rFonts w:ascii="Arial" w:eastAsia="Times New Roman" w:hAnsi="Arial" w:cs="Arial"/>
                <w:noProof w:val="0"/>
                <w:sz w:val="24"/>
                <w:szCs w:val="24"/>
                <w:lang w:eastAsia="en-IN"/>
              </w:rPr>
            </w:pPr>
            <w:proofErr w:type="spellStart"/>
            <w:r w:rsidRPr="0062796D">
              <w:rPr>
                <w:rFonts w:ascii="Arial" w:eastAsia="Times New Roman" w:hAnsi="Arial" w:cs="Arial"/>
                <w:noProof w:val="0"/>
                <w:sz w:val="24"/>
                <w:szCs w:val="24"/>
                <w:lang w:eastAsia="en-IN"/>
              </w:rPr>
              <w:t>xxxx</w:t>
            </w:r>
            <w:proofErr w:type="spellEnd"/>
          </w:p>
        </w:tc>
        <w:tc>
          <w:tcPr>
            <w:tcW w:w="1031" w:type="dxa"/>
            <w:vAlign w:val="bottom"/>
            <w:hideMark/>
          </w:tcPr>
          <w:p w14:paraId="213A42D3"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9" w:type="dxa"/>
            <w:shd w:val="clear" w:color="auto" w:fill="000000"/>
            <w:vAlign w:val="bottom"/>
            <w:hideMark/>
          </w:tcPr>
          <w:p w14:paraId="53226681"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757740DC" w14:textId="77777777" w:rsidTr="009B01C3">
        <w:trPr>
          <w:trHeight w:val="139"/>
          <w:tblCellSpacing w:w="0" w:type="dxa"/>
        </w:trPr>
        <w:tc>
          <w:tcPr>
            <w:tcW w:w="9" w:type="dxa"/>
            <w:shd w:val="clear" w:color="auto" w:fill="000000"/>
            <w:vAlign w:val="bottom"/>
            <w:hideMark/>
          </w:tcPr>
          <w:p w14:paraId="0067494D"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502" w:type="dxa"/>
            <w:tcBorders>
              <w:bottom w:val="single" w:sz="4" w:space="0" w:color="000000"/>
            </w:tcBorders>
            <w:vAlign w:val="bottom"/>
            <w:hideMark/>
          </w:tcPr>
          <w:p w14:paraId="1573C79F"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ii.)</w:t>
            </w:r>
          </w:p>
        </w:tc>
        <w:tc>
          <w:tcPr>
            <w:tcW w:w="2499" w:type="dxa"/>
            <w:tcBorders>
              <w:bottom w:val="single" w:sz="4" w:space="0" w:color="000000"/>
            </w:tcBorders>
            <w:vAlign w:val="bottom"/>
            <w:hideMark/>
          </w:tcPr>
          <w:p w14:paraId="15BDDE88" w14:textId="77777777" w:rsidR="009B01C3" w:rsidRPr="0062796D" w:rsidRDefault="009B01C3" w:rsidP="009B01C3">
            <w:pPr>
              <w:spacing w:after="0" w:line="130"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Income from Fund (e.g. interest)</w:t>
            </w:r>
          </w:p>
        </w:tc>
        <w:tc>
          <w:tcPr>
            <w:tcW w:w="1124" w:type="dxa"/>
            <w:tcBorders>
              <w:left w:val="single" w:sz="4" w:space="0" w:color="000000"/>
              <w:bottom w:val="single" w:sz="4" w:space="0" w:color="000000"/>
              <w:right w:val="single" w:sz="4" w:space="0" w:color="000000"/>
            </w:tcBorders>
            <w:vAlign w:val="bottom"/>
            <w:hideMark/>
          </w:tcPr>
          <w:p w14:paraId="300EB8FE" w14:textId="77777777" w:rsidR="009B01C3" w:rsidRPr="0062796D" w:rsidRDefault="009B01C3" w:rsidP="009B01C3">
            <w:pPr>
              <w:spacing w:after="0" w:line="130" w:lineRule="atLeast"/>
              <w:rPr>
                <w:rFonts w:ascii="Arial" w:eastAsia="Times New Roman" w:hAnsi="Arial" w:cs="Arial"/>
                <w:noProof w:val="0"/>
                <w:sz w:val="24"/>
                <w:szCs w:val="24"/>
                <w:u w:val="single"/>
                <w:lang w:eastAsia="en-IN"/>
              </w:rPr>
            </w:pPr>
            <w:proofErr w:type="spellStart"/>
            <w:r w:rsidRPr="0062796D">
              <w:rPr>
                <w:rFonts w:ascii="Arial" w:eastAsia="Times New Roman" w:hAnsi="Arial" w:cs="Arial"/>
                <w:noProof w:val="0"/>
                <w:sz w:val="24"/>
                <w:szCs w:val="24"/>
                <w:u w:val="single"/>
                <w:lang w:eastAsia="en-IN"/>
              </w:rPr>
              <w:t>xxxx</w:t>
            </w:r>
            <w:proofErr w:type="spellEnd"/>
          </w:p>
        </w:tc>
        <w:tc>
          <w:tcPr>
            <w:tcW w:w="1031" w:type="dxa"/>
            <w:tcBorders>
              <w:bottom w:val="single" w:sz="4" w:space="0" w:color="000000"/>
            </w:tcBorders>
            <w:vAlign w:val="bottom"/>
            <w:hideMark/>
          </w:tcPr>
          <w:p w14:paraId="3FDBAD0A" w14:textId="77777777" w:rsidR="009B01C3" w:rsidRPr="0062796D" w:rsidRDefault="009B01C3" w:rsidP="009B01C3">
            <w:pPr>
              <w:spacing w:after="0" w:line="130" w:lineRule="atLeast"/>
              <w:rPr>
                <w:rFonts w:ascii="Arial" w:eastAsia="Times New Roman" w:hAnsi="Arial" w:cs="Arial"/>
                <w:noProof w:val="0"/>
                <w:sz w:val="24"/>
                <w:szCs w:val="24"/>
                <w:u w:val="single"/>
                <w:lang w:eastAsia="en-IN"/>
              </w:rPr>
            </w:pPr>
            <w:proofErr w:type="spellStart"/>
            <w:r w:rsidRPr="0062796D">
              <w:rPr>
                <w:rFonts w:ascii="Arial" w:eastAsia="Times New Roman" w:hAnsi="Arial" w:cs="Arial"/>
                <w:noProof w:val="0"/>
                <w:sz w:val="24"/>
                <w:szCs w:val="24"/>
                <w:u w:val="single"/>
                <w:lang w:eastAsia="en-IN"/>
              </w:rPr>
              <w:t>xxxx</w:t>
            </w:r>
            <w:proofErr w:type="spellEnd"/>
          </w:p>
        </w:tc>
        <w:tc>
          <w:tcPr>
            <w:tcW w:w="9" w:type="dxa"/>
            <w:shd w:val="clear" w:color="auto" w:fill="000000"/>
            <w:vAlign w:val="bottom"/>
            <w:hideMark/>
          </w:tcPr>
          <w:p w14:paraId="698A3099"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412A00F2" w14:textId="77777777" w:rsidTr="009B01C3">
        <w:trPr>
          <w:trHeight w:val="130"/>
          <w:tblCellSpacing w:w="0" w:type="dxa"/>
        </w:trPr>
        <w:tc>
          <w:tcPr>
            <w:tcW w:w="9" w:type="dxa"/>
            <w:shd w:val="clear" w:color="auto" w:fill="000000"/>
            <w:vAlign w:val="bottom"/>
            <w:hideMark/>
          </w:tcPr>
          <w:p w14:paraId="7B002B9C"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502" w:type="dxa"/>
            <w:tcBorders>
              <w:bottom w:val="single" w:sz="4" w:space="0" w:color="000000"/>
            </w:tcBorders>
            <w:vAlign w:val="bottom"/>
            <w:hideMark/>
          </w:tcPr>
          <w:p w14:paraId="5095EAE5" w14:textId="77777777" w:rsidR="009B01C3" w:rsidRPr="0062796D" w:rsidRDefault="009B01C3" w:rsidP="009B01C3">
            <w:pPr>
              <w:spacing w:after="0" w:line="121"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3</w:t>
            </w:r>
          </w:p>
        </w:tc>
        <w:tc>
          <w:tcPr>
            <w:tcW w:w="2499" w:type="dxa"/>
            <w:tcBorders>
              <w:bottom w:val="single" w:sz="4" w:space="0" w:color="000000"/>
            </w:tcBorders>
            <w:vAlign w:val="bottom"/>
            <w:hideMark/>
          </w:tcPr>
          <w:p w14:paraId="22612A56" w14:textId="77777777" w:rsidR="009B01C3" w:rsidRPr="0062796D" w:rsidRDefault="009B01C3" w:rsidP="009B01C3">
            <w:pPr>
              <w:spacing w:after="0" w:line="12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Total </w:t>
            </w:r>
            <w:r w:rsidRPr="0062796D">
              <w:rPr>
                <w:rFonts w:ascii="Arial" w:eastAsia="Times New Roman" w:hAnsi="Arial" w:cs="Arial"/>
                <w:b/>
                <w:bCs/>
                <w:noProof w:val="0"/>
                <w:sz w:val="24"/>
                <w:szCs w:val="24"/>
                <w:lang w:eastAsia="en-IN"/>
              </w:rPr>
              <w:t>(1+2)</w:t>
            </w:r>
          </w:p>
        </w:tc>
        <w:tc>
          <w:tcPr>
            <w:tcW w:w="1124" w:type="dxa"/>
            <w:tcBorders>
              <w:left w:val="single" w:sz="4" w:space="0" w:color="000000"/>
              <w:bottom w:val="single" w:sz="4" w:space="0" w:color="000000"/>
              <w:right w:val="single" w:sz="4" w:space="0" w:color="000000"/>
            </w:tcBorders>
            <w:vAlign w:val="bottom"/>
            <w:hideMark/>
          </w:tcPr>
          <w:p w14:paraId="04A1E23D"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1" w:type="dxa"/>
            <w:tcBorders>
              <w:bottom w:val="single" w:sz="4" w:space="0" w:color="000000"/>
            </w:tcBorders>
            <w:vAlign w:val="bottom"/>
            <w:hideMark/>
          </w:tcPr>
          <w:p w14:paraId="5170EC17" w14:textId="77777777" w:rsidR="009B01C3" w:rsidRPr="0062796D" w:rsidRDefault="009B01C3" w:rsidP="009B01C3">
            <w:pPr>
              <w:spacing w:after="0" w:line="121" w:lineRule="atLeast"/>
              <w:rPr>
                <w:rFonts w:ascii="Arial" w:eastAsia="Times New Roman" w:hAnsi="Arial" w:cs="Arial"/>
                <w:noProof w:val="0"/>
                <w:sz w:val="24"/>
                <w:szCs w:val="24"/>
                <w:lang w:eastAsia="en-IN"/>
              </w:rPr>
            </w:pPr>
            <w:proofErr w:type="spellStart"/>
            <w:r w:rsidRPr="0062796D">
              <w:rPr>
                <w:rFonts w:ascii="Arial" w:eastAsia="Times New Roman" w:hAnsi="Arial" w:cs="Arial"/>
                <w:noProof w:val="0"/>
                <w:sz w:val="24"/>
                <w:szCs w:val="24"/>
                <w:lang w:eastAsia="en-IN"/>
              </w:rPr>
              <w:t>xxxx</w:t>
            </w:r>
            <w:proofErr w:type="spellEnd"/>
          </w:p>
        </w:tc>
        <w:tc>
          <w:tcPr>
            <w:tcW w:w="9" w:type="dxa"/>
            <w:shd w:val="clear" w:color="auto" w:fill="000000"/>
            <w:vAlign w:val="bottom"/>
            <w:hideMark/>
          </w:tcPr>
          <w:p w14:paraId="741E1574"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09D60E72" w14:textId="77777777" w:rsidTr="009B01C3">
        <w:trPr>
          <w:trHeight w:val="111"/>
          <w:tblCellSpacing w:w="0" w:type="dxa"/>
        </w:trPr>
        <w:tc>
          <w:tcPr>
            <w:tcW w:w="9" w:type="dxa"/>
            <w:shd w:val="clear" w:color="auto" w:fill="000000"/>
            <w:vAlign w:val="bottom"/>
            <w:hideMark/>
          </w:tcPr>
          <w:p w14:paraId="03731CDC" w14:textId="77777777" w:rsidR="009B01C3" w:rsidRPr="0062796D" w:rsidRDefault="009B01C3" w:rsidP="009B01C3">
            <w:pPr>
              <w:spacing w:after="0" w:line="11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502" w:type="dxa"/>
            <w:vAlign w:val="bottom"/>
            <w:hideMark/>
          </w:tcPr>
          <w:p w14:paraId="7226C856" w14:textId="77777777" w:rsidR="009B01C3" w:rsidRPr="0062796D" w:rsidRDefault="009B01C3" w:rsidP="009B01C3">
            <w:pPr>
              <w:spacing w:after="0" w:line="111"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4</w:t>
            </w:r>
          </w:p>
        </w:tc>
        <w:tc>
          <w:tcPr>
            <w:tcW w:w="2499" w:type="dxa"/>
            <w:vAlign w:val="bottom"/>
            <w:hideMark/>
          </w:tcPr>
          <w:p w14:paraId="54E06FB8" w14:textId="77777777" w:rsidR="009B01C3" w:rsidRPr="0062796D" w:rsidRDefault="009B01C3" w:rsidP="009B01C3">
            <w:pPr>
              <w:spacing w:after="0" w:line="11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Application of Funds</w:t>
            </w:r>
          </w:p>
        </w:tc>
        <w:tc>
          <w:tcPr>
            <w:tcW w:w="1124" w:type="dxa"/>
            <w:tcBorders>
              <w:left w:val="single" w:sz="4" w:space="0" w:color="000000"/>
              <w:right w:val="single" w:sz="4" w:space="0" w:color="000000"/>
            </w:tcBorders>
            <w:vAlign w:val="bottom"/>
            <w:hideMark/>
          </w:tcPr>
          <w:p w14:paraId="412AD603" w14:textId="77777777" w:rsidR="009B01C3" w:rsidRPr="0062796D" w:rsidRDefault="009B01C3" w:rsidP="009B01C3">
            <w:pPr>
              <w:spacing w:after="0" w:line="11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1" w:type="dxa"/>
            <w:vAlign w:val="bottom"/>
            <w:hideMark/>
          </w:tcPr>
          <w:p w14:paraId="236107B6" w14:textId="77777777" w:rsidR="009B01C3" w:rsidRPr="0062796D" w:rsidRDefault="009B01C3" w:rsidP="009B01C3">
            <w:pPr>
              <w:spacing w:after="0" w:line="11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9" w:type="dxa"/>
            <w:shd w:val="clear" w:color="auto" w:fill="000000"/>
            <w:vAlign w:val="bottom"/>
            <w:hideMark/>
          </w:tcPr>
          <w:p w14:paraId="5C7183B1" w14:textId="77777777" w:rsidR="009B01C3" w:rsidRPr="0062796D" w:rsidRDefault="009B01C3" w:rsidP="009B01C3">
            <w:pPr>
              <w:spacing w:after="0" w:line="11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35CCA272" w14:textId="77777777" w:rsidTr="009B01C3">
        <w:trPr>
          <w:trHeight w:val="139"/>
          <w:tblCellSpacing w:w="0" w:type="dxa"/>
        </w:trPr>
        <w:tc>
          <w:tcPr>
            <w:tcW w:w="9" w:type="dxa"/>
            <w:shd w:val="clear" w:color="auto" w:fill="000000"/>
            <w:vAlign w:val="bottom"/>
            <w:hideMark/>
          </w:tcPr>
          <w:p w14:paraId="73F4E987"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502" w:type="dxa"/>
            <w:vAlign w:val="bottom"/>
            <w:hideMark/>
          </w:tcPr>
          <w:p w14:paraId="15AFD023" w14:textId="77777777" w:rsidR="009B01C3" w:rsidRPr="0062796D" w:rsidRDefault="009B01C3" w:rsidP="009B01C3">
            <w:pPr>
              <w:spacing w:after="0" w:line="139"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i.)</w:t>
            </w:r>
          </w:p>
        </w:tc>
        <w:tc>
          <w:tcPr>
            <w:tcW w:w="2499" w:type="dxa"/>
            <w:vAlign w:val="bottom"/>
            <w:hideMark/>
          </w:tcPr>
          <w:p w14:paraId="14D09E5E" w14:textId="77777777" w:rsidR="009B01C3" w:rsidRPr="0062796D" w:rsidRDefault="009B01C3" w:rsidP="009B01C3">
            <w:pPr>
              <w:spacing w:after="0" w:line="13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Revenue Expenditure</w:t>
            </w:r>
          </w:p>
        </w:tc>
        <w:tc>
          <w:tcPr>
            <w:tcW w:w="1124" w:type="dxa"/>
            <w:tcBorders>
              <w:left w:val="single" w:sz="4" w:space="0" w:color="000000"/>
              <w:right w:val="single" w:sz="4" w:space="0" w:color="000000"/>
            </w:tcBorders>
            <w:vAlign w:val="bottom"/>
            <w:hideMark/>
          </w:tcPr>
          <w:p w14:paraId="225832D9" w14:textId="77777777" w:rsidR="009B01C3" w:rsidRPr="0062796D" w:rsidRDefault="009B01C3" w:rsidP="009B01C3">
            <w:pPr>
              <w:spacing w:after="0" w:line="139" w:lineRule="atLeast"/>
              <w:rPr>
                <w:rFonts w:ascii="Arial" w:eastAsia="Times New Roman" w:hAnsi="Arial" w:cs="Arial"/>
                <w:noProof w:val="0"/>
                <w:sz w:val="24"/>
                <w:szCs w:val="24"/>
                <w:lang w:eastAsia="en-IN"/>
              </w:rPr>
            </w:pPr>
            <w:proofErr w:type="spellStart"/>
            <w:r w:rsidRPr="0062796D">
              <w:rPr>
                <w:rFonts w:ascii="Arial" w:eastAsia="Times New Roman" w:hAnsi="Arial" w:cs="Arial"/>
                <w:noProof w:val="0"/>
                <w:sz w:val="24"/>
                <w:szCs w:val="24"/>
                <w:lang w:eastAsia="en-IN"/>
              </w:rPr>
              <w:t>xxxx</w:t>
            </w:r>
            <w:proofErr w:type="spellEnd"/>
          </w:p>
        </w:tc>
        <w:tc>
          <w:tcPr>
            <w:tcW w:w="1031" w:type="dxa"/>
            <w:vAlign w:val="bottom"/>
            <w:hideMark/>
          </w:tcPr>
          <w:p w14:paraId="2CA3793D"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9" w:type="dxa"/>
            <w:shd w:val="clear" w:color="auto" w:fill="000000"/>
            <w:vAlign w:val="bottom"/>
            <w:hideMark/>
          </w:tcPr>
          <w:p w14:paraId="166EDACD"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64A9668A" w14:textId="77777777" w:rsidTr="009B01C3">
        <w:trPr>
          <w:trHeight w:val="130"/>
          <w:tblCellSpacing w:w="0" w:type="dxa"/>
        </w:trPr>
        <w:tc>
          <w:tcPr>
            <w:tcW w:w="9" w:type="dxa"/>
            <w:shd w:val="clear" w:color="auto" w:fill="000000"/>
            <w:vAlign w:val="bottom"/>
            <w:hideMark/>
          </w:tcPr>
          <w:p w14:paraId="0680BD32"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502" w:type="dxa"/>
            <w:vAlign w:val="bottom"/>
            <w:hideMark/>
          </w:tcPr>
          <w:p w14:paraId="13E6C91C" w14:textId="77777777" w:rsidR="009B01C3" w:rsidRPr="0062796D" w:rsidRDefault="009B01C3" w:rsidP="009B01C3">
            <w:pPr>
              <w:spacing w:after="0" w:line="130"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ii.)</w:t>
            </w:r>
          </w:p>
        </w:tc>
        <w:tc>
          <w:tcPr>
            <w:tcW w:w="2499" w:type="dxa"/>
            <w:vAlign w:val="bottom"/>
            <w:hideMark/>
          </w:tcPr>
          <w:p w14:paraId="17BDF584" w14:textId="77777777" w:rsidR="009B01C3" w:rsidRPr="0062796D" w:rsidRDefault="009B01C3" w:rsidP="009B01C3">
            <w:pPr>
              <w:spacing w:after="0" w:line="130"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Capital Expenditure</w:t>
            </w:r>
          </w:p>
        </w:tc>
        <w:tc>
          <w:tcPr>
            <w:tcW w:w="1124" w:type="dxa"/>
            <w:tcBorders>
              <w:left w:val="single" w:sz="4" w:space="0" w:color="000000"/>
              <w:right w:val="single" w:sz="4" w:space="0" w:color="000000"/>
            </w:tcBorders>
            <w:vAlign w:val="bottom"/>
            <w:hideMark/>
          </w:tcPr>
          <w:p w14:paraId="6D808139" w14:textId="77777777" w:rsidR="009B01C3" w:rsidRPr="0062796D" w:rsidRDefault="009B01C3" w:rsidP="009B01C3">
            <w:pPr>
              <w:spacing w:after="0" w:line="130" w:lineRule="atLeast"/>
              <w:rPr>
                <w:rFonts w:ascii="Arial" w:eastAsia="Times New Roman" w:hAnsi="Arial" w:cs="Arial"/>
                <w:noProof w:val="0"/>
                <w:sz w:val="24"/>
                <w:szCs w:val="24"/>
                <w:u w:val="single"/>
                <w:lang w:eastAsia="en-IN"/>
              </w:rPr>
            </w:pPr>
            <w:proofErr w:type="spellStart"/>
            <w:r w:rsidRPr="0062796D">
              <w:rPr>
                <w:rFonts w:ascii="Arial" w:eastAsia="Times New Roman" w:hAnsi="Arial" w:cs="Arial"/>
                <w:noProof w:val="0"/>
                <w:sz w:val="24"/>
                <w:szCs w:val="24"/>
                <w:u w:val="single"/>
                <w:lang w:eastAsia="en-IN"/>
              </w:rPr>
              <w:t>xxxx</w:t>
            </w:r>
            <w:proofErr w:type="spellEnd"/>
          </w:p>
        </w:tc>
        <w:tc>
          <w:tcPr>
            <w:tcW w:w="1031" w:type="dxa"/>
            <w:vAlign w:val="bottom"/>
            <w:hideMark/>
          </w:tcPr>
          <w:p w14:paraId="75EA515A"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9" w:type="dxa"/>
            <w:shd w:val="clear" w:color="auto" w:fill="000000"/>
            <w:vAlign w:val="bottom"/>
            <w:hideMark/>
          </w:tcPr>
          <w:p w14:paraId="393FEE65"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211D9ED1" w14:textId="77777777" w:rsidTr="009B01C3">
        <w:trPr>
          <w:trHeight w:val="139"/>
          <w:tblCellSpacing w:w="0" w:type="dxa"/>
        </w:trPr>
        <w:tc>
          <w:tcPr>
            <w:tcW w:w="9" w:type="dxa"/>
            <w:shd w:val="clear" w:color="auto" w:fill="000000"/>
            <w:vAlign w:val="bottom"/>
            <w:hideMark/>
          </w:tcPr>
          <w:p w14:paraId="51CFB1C5"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3001" w:type="dxa"/>
            <w:gridSpan w:val="2"/>
            <w:tcBorders>
              <w:bottom w:val="single" w:sz="4" w:space="0" w:color="000000"/>
            </w:tcBorders>
            <w:vAlign w:val="bottom"/>
            <w:hideMark/>
          </w:tcPr>
          <w:p w14:paraId="27E3B327" w14:textId="77777777" w:rsidR="009B01C3" w:rsidRPr="0062796D" w:rsidRDefault="009B01C3" w:rsidP="009B01C3">
            <w:pPr>
              <w:spacing w:after="0" w:line="130"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Total </w:t>
            </w:r>
            <w:r w:rsidRPr="0062796D">
              <w:rPr>
                <w:rFonts w:ascii="Arial" w:eastAsia="Times New Roman" w:hAnsi="Arial" w:cs="Arial"/>
                <w:b/>
                <w:bCs/>
                <w:noProof w:val="0"/>
                <w:sz w:val="24"/>
                <w:szCs w:val="24"/>
                <w:lang w:eastAsia="en-IN"/>
              </w:rPr>
              <w:t>(</w:t>
            </w:r>
            <w:proofErr w:type="spellStart"/>
            <w:r w:rsidRPr="0062796D">
              <w:rPr>
                <w:rFonts w:ascii="Arial" w:eastAsia="Times New Roman" w:hAnsi="Arial" w:cs="Arial"/>
                <w:b/>
                <w:bCs/>
                <w:noProof w:val="0"/>
                <w:sz w:val="24"/>
                <w:szCs w:val="24"/>
                <w:lang w:eastAsia="en-IN"/>
              </w:rPr>
              <w:t>i+ii</w:t>
            </w:r>
            <w:proofErr w:type="spellEnd"/>
            <w:r w:rsidRPr="0062796D">
              <w:rPr>
                <w:rFonts w:ascii="Arial" w:eastAsia="Times New Roman" w:hAnsi="Arial" w:cs="Arial"/>
                <w:b/>
                <w:bCs/>
                <w:noProof w:val="0"/>
                <w:sz w:val="24"/>
                <w:szCs w:val="24"/>
                <w:lang w:eastAsia="en-IN"/>
              </w:rPr>
              <w:t>)</w:t>
            </w:r>
          </w:p>
        </w:tc>
        <w:tc>
          <w:tcPr>
            <w:tcW w:w="1124" w:type="dxa"/>
            <w:tcBorders>
              <w:left w:val="single" w:sz="4" w:space="0" w:color="000000"/>
              <w:bottom w:val="single" w:sz="4" w:space="0" w:color="000000"/>
              <w:right w:val="single" w:sz="4" w:space="0" w:color="000000"/>
            </w:tcBorders>
            <w:vAlign w:val="bottom"/>
            <w:hideMark/>
          </w:tcPr>
          <w:p w14:paraId="655C97D0"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1" w:type="dxa"/>
            <w:tcBorders>
              <w:bottom w:val="single" w:sz="4" w:space="0" w:color="000000"/>
            </w:tcBorders>
            <w:vAlign w:val="bottom"/>
            <w:hideMark/>
          </w:tcPr>
          <w:p w14:paraId="2C38ECB1" w14:textId="77777777" w:rsidR="009B01C3" w:rsidRPr="0062796D" w:rsidRDefault="009B01C3" w:rsidP="009B01C3">
            <w:pPr>
              <w:spacing w:after="0" w:line="130" w:lineRule="atLeast"/>
              <w:rPr>
                <w:rFonts w:ascii="Arial" w:eastAsia="Times New Roman" w:hAnsi="Arial" w:cs="Arial"/>
                <w:noProof w:val="0"/>
                <w:sz w:val="24"/>
                <w:szCs w:val="24"/>
                <w:u w:val="single"/>
                <w:lang w:eastAsia="en-IN"/>
              </w:rPr>
            </w:pPr>
            <w:proofErr w:type="spellStart"/>
            <w:r w:rsidRPr="0062796D">
              <w:rPr>
                <w:rFonts w:ascii="Arial" w:eastAsia="Times New Roman" w:hAnsi="Arial" w:cs="Arial"/>
                <w:noProof w:val="0"/>
                <w:sz w:val="24"/>
                <w:szCs w:val="24"/>
                <w:u w:val="single"/>
                <w:lang w:eastAsia="en-IN"/>
              </w:rPr>
              <w:t>xxxx</w:t>
            </w:r>
            <w:proofErr w:type="spellEnd"/>
          </w:p>
        </w:tc>
        <w:tc>
          <w:tcPr>
            <w:tcW w:w="9" w:type="dxa"/>
            <w:shd w:val="clear" w:color="auto" w:fill="000000"/>
            <w:vAlign w:val="bottom"/>
            <w:hideMark/>
          </w:tcPr>
          <w:p w14:paraId="1EDD0BE2"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649D0CEF" w14:textId="77777777" w:rsidTr="009B01C3">
        <w:trPr>
          <w:trHeight w:val="130"/>
          <w:tblCellSpacing w:w="0" w:type="dxa"/>
        </w:trPr>
        <w:tc>
          <w:tcPr>
            <w:tcW w:w="9" w:type="dxa"/>
            <w:shd w:val="clear" w:color="auto" w:fill="000000"/>
            <w:vAlign w:val="bottom"/>
            <w:hideMark/>
          </w:tcPr>
          <w:p w14:paraId="086276DF"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502" w:type="dxa"/>
            <w:tcBorders>
              <w:bottom w:val="single" w:sz="4" w:space="0" w:color="000000"/>
            </w:tcBorders>
            <w:vAlign w:val="bottom"/>
            <w:hideMark/>
          </w:tcPr>
          <w:p w14:paraId="4476EC4E" w14:textId="77777777" w:rsidR="009B01C3" w:rsidRPr="0062796D" w:rsidRDefault="009B01C3" w:rsidP="009B01C3">
            <w:pPr>
              <w:spacing w:after="0" w:line="121"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5</w:t>
            </w:r>
          </w:p>
        </w:tc>
        <w:tc>
          <w:tcPr>
            <w:tcW w:w="2499" w:type="dxa"/>
            <w:tcBorders>
              <w:bottom w:val="single" w:sz="4" w:space="0" w:color="000000"/>
            </w:tcBorders>
            <w:vAlign w:val="bottom"/>
            <w:hideMark/>
          </w:tcPr>
          <w:p w14:paraId="21543505" w14:textId="77777777" w:rsidR="009B01C3" w:rsidRPr="0062796D" w:rsidRDefault="009B01C3" w:rsidP="009B01C3">
            <w:pPr>
              <w:spacing w:after="0" w:line="12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Closing Balance </w:t>
            </w:r>
            <w:r w:rsidRPr="0062796D">
              <w:rPr>
                <w:rFonts w:ascii="Arial" w:eastAsia="Times New Roman" w:hAnsi="Arial" w:cs="Arial"/>
                <w:b/>
                <w:bCs/>
                <w:noProof w:val="0"/>
                <w:sz w:val="24"/>
                <w:szCs w:val="24"/>
                <w:lang w:eastAsia="en-IN"/>
              </w:rPr>
              <w:t>(3-4)</w:t>
            </w:r>
          </w:p>
        </w:tc>
        <w:tc>
          <w:tcPr>
            <w:tcW w:w="1124" w:type="dxa"/>
            <w:tcBorders>
              <w:left w:val="single" w:sz="4" w:space="0" w:color="000000"/>
              <w:bottom w:val="single" w:sz="4" w:space="0" w:color="000000"/>
              <w:right w:val="single" w:sz="4" w:space="0" w:color="000000"/>
            </w:tcBorders>
            <w:vAlign w:val="bottom"/>
            <w:hideMark/>
          </w:tcPr>
          <w:p w14:paraId="3682BBA3"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1" w:type="dxa"/>
            <w:tcBorders>
              <w:bottom w:val="single" w:sz="4" w:space="0" w:color="000000"/>
            </w:tcBorders>
            <w:vAlign w:val="bottom"/>
            <w:hideMark/>
          </w:tcPr>
          <w:p w14:paraId="5065263E" w14:textId="77777777" w:rsidR="009B01C3" w:rsidRPr="0062796D" w:rsidRDefault="009B01C3" w:rsidP="009B01C3">
            <w:pPr>
              <w:spacing w:after="0" w:line="121" w:lineRule="atLeast"/>
              <w:rPr>
                <w:rFonts w:ascii="Arial" w:eastAsia="Times New Roman" w:hAnsi="Arial" w:cs="Arial"/>
                <w:noProof w:val="0"/>
                <w:sz w:val="24"/>
                <w:szCs w:val="24"/>
                <w:lang w:eastAsia="en-IN"/>
              </w:rPr>
            </w:pPr>
            <w:proofErr w:type="spellStart"/>
            <w:r w:rsidRPr="0062796D">
              <w:rPr>
                <w:rFonts w:ascii="Arial" w:eastAsia="Times New Roman" w:hAnsi="Arial" w:cs="Arial"/>
                <w:noProof w:val="0"/>
                <w:sz w:val="24"/>
                <w:szCs w:val="24"/>
                <w:lang w:eastAsia="en-IN"/>
              </w:rPr>
              <w:t>xxxx</w:t>
            </w:r>
            <w:proofErr w:type="spellEnd"/>
          </w:p>
        </w:tc>
        <w:tc>
          <w:tcPr>
            <w:tcW w:w="9" w:type="dxa"/>
            <w:shd w:val="clear" w:color="auto" w:fill="000000"/>
            <w:vAlign w:val="bottom"/>
            <w:hideMark/>
          </w:tcPr>
          <w:p w14:paraId="5379040B"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74928132" w14:textId="77777777" w:rsidTr="009B01C3">
        <w:trPr>
          <w:trHeight w:val="121"/>
          <w:tblCellSpacing w:w="0" w:type="dxa"/>
        </w:trPr>
        <w:tc>
          <w:tcPr>
            <w:tcW w:w="9" w:type="dxa"/>
            <w:shd w:val="clear" w:color="auto" w:fill="000000"/>
            <w:vAlign w:val="bottom"/>
            <w:hideMark/>
          </w:tcPr>
          <w:p w14:paraId="78061F16"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502" w:type="dxa"/>
            <w:vAlign w:val="bottom"/>
            <w:hideMark/>
          </w:tcPr>
          <w:p w14:paraId="1DE38F46" w14:textId="77777777" w:rsidR="009B01C3" w:rsidRPr="0062796D" w:rsidRDefault="009B01C3" w:rsidP="009B01C3">
            <w:pPr>
              <w:spacing w:after="0" w:line="121"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6</w:t>
            </w:r>
          </w:p>
        </w:tc>
        <w:tc>
          <w:tcPr>
            <w:tcW w:w="2499" w:type="dxa"/>
            <w:vAlign w:val="bottom"/>
            <w:hideMark/>
          </w:tcPr>
          <w:p w14:paraId="3DFC22B5" w14:textId="77777777" w:rsidR="009B01C3" w:rsidRPr="0062796D" w:rsidRDefault="009B01C3" w:rsidP="009B01C3">
            <w:pPr>
              <w:spacing w:after="0" w:line="12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Closing balance represented by</w:t>
            </w:r>
          </w:p>
        </w:tc>
        <w:tc>
          <w:tcPr>
            <w:tcW w:w="1124" w:type="dxa"/>
            <w:tcBorders>
              <w:left w:val="single" w:sz="4" w:space="0" w:color="000000"/>
              <w:right w:val="single" w:sz="4" w:space="0" w:color="000000"/>
            </w:tcBorders>
            <w:vAlign w:val="bottom"/>
            <w:hideMark/>
          </w:tcPr>
          <w:p w14:paraId="0CCC4F07"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1" w:type="dxa"/>
            <w:vAlign w:val="bottom"/>
            <w:hideMark/>
          </w:tcPr>
          <w:p w14:paraId="150067C8" w14:textId="77777777" w:rsidR="009B01C3" w:rsidRPr="0062796D" w:rsidRDefault="009B01C3" w:rsidP="009B01C3">
            <w:pPr>
              <w:spacing w:after="0" w:line="121" w:lineRule="atLeast"/>
              <w:rPr>
                <w:rFonts w:ascii="Arial" w:eastAsia="Times New Roman" w:hAnsi="Arial" w:cs="Arial"/>
                <w:noProof w:val="0"/>
                <w:sz w:val="24"/>
                <w:szCs w:val="24"/>
                <w:lang w:eastAsia="en-IN"/>
              </w:rPr>
            </w:pPr>
            <w:proofErr w:type="spellStart"/>
            <w:r w:rsidRPr="0062796D">
              <w:rPr>
                <w:rFonts w:ascii="Arial" w:eastAsia="Times New Roman" w:hAnsi="Arial" w:cs="Arial"/>
                <w:noProof w:val="0"/>
                <w:sz w:val="24"/>
                <w:szCs w:val="24"/>
                <w:lang w:eastAsia="en-IN"/>
              </w:rPr>
              <w:t>xxxx</w:t>
            </w:r>
            <w:proofErr w:type="spellEnd"/>
          </w:p>
        </w:tc>
        <w:tc>
          <w:tcPr>
            <w:tcW w:w="9" w:type="dxa"/>
            <w:shd w:val="clear" w:color="auto" w:fill="000000"/>
            <w:vAlign w:val="bottom"/>
            <w:hideMark/>
          </w:tcPr>
          <w:p w14:paraId="4B9A2BE3"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1A33CD07" w14:textId="77777777" w:rsidTr="009B01C3">
        <w:trPr>
          <w:trHeight w:val="139"/>
          <w:tblCellSpacing w:w="0" w:type="dxa"/>
        </w:trPr>
        <w:tc>
          <w:tcPr>
            <w:tcW w:w="9" w:type="dxa"/>
            <w:shd w:val="clear" w:color="auto" w:fill="000000"/>
            <w:vAlign w:val="bottom"/>
            <w:hideMark/>
          </w:tcPr>
          <w:p w14:paraId="33736449"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502" w:type="dxa"/>
            <w:vAlign w:val="bottom"/>
            <w:hideMark/>
          </w:tcPr>
          <w:p w14:paraId="6CDB0794" w14:textId="77777777" w:rsidR="009B01C3" w:rsidRPr="0062796D" w:rsidRDefault="009B01C3" w:rsidP="009B01C3">
            <w:pPr>
              <w:spacing w:after="0" w:line="139"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i.)</w:t>
            </w:r>
          </w:p>
        </w:tc>
        <w:tc>
          <w:tcPr>
            <w:tcW w:w="2499" w:type="dxa"/>
            <w:vAlign w:val="bottom"/>
            <w:hideMark/>
          </w:tcPr>
          <w:p w14:paraId="29BEA869" w14:textId="77777777" w:rsidR="009B01C3" w:rsidRPr="0062796D" w:rsidRDefault="009B01C3" w:rsidP="009B01C3">
            <w:pPr>
              <w:spacing w:after="0" w:line="13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Bank Balance</w:t>
            </w:r>
          </w:p>
        </w:tc>
        <w:tc>
          <w:tcPr>
            <w:tcW w:w="1124" w:type="dxa"/>
            <w:tcBorders>
              <w:left w:val="single" w:sz="4" w:space="0" w:color="000000"/>
              <w:right w:val="single" w:sz="4" w:space="0" w:color="000000"/>
            </w:tcBorders>
            <w:vAlign w:val="bottom"/>
            <w:hideMark/>
          </w:tcPr>
          <w:p w14:paraId="124F9080"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1" w:type="dxa"/>
            <w:vAlign w:val="bottom"/>
            <w:hideMark/>
          </w:tcPr>
          <w:p w14:paraId="11673580" w14:textId="77777777" w:rsidR="009B01C3" w:rsidRPr="0062796D" w:rsidRDefault="009B01C3" w:rsidP="009B01C3">
            <w:pPr>
              <w:spacing w:after="0" w:line="139" w:lineRule="atLeast"/>
              <w:rPr>
                <w:rFonts w:ascii="Arial" w:eastAsia="Times New Roman" w:hAnsi="Arial" w:cs="Arial"/>
                <w:noProof w:val="0"/>
                <w:sz w:val="24"/>
                <w:szCs w:val="24"/>
                <w:lang w:eastAsia="en-IN"/>
              </w:rPr>
            </w:pPr>
            <w:proofErr w:type="spellStart"/>
            <w:r w:rsidRPr="0062796D">
              <w:rPr>
                <w:rFonts w:ascii="Arial" w:eastAsia="Times New Roman" w:hAnsi="Arial" w:cs="Arial"/>
                <w:noProof w:val="0"/>
                <w:sz w:val="24"/>
                <w:szCs w:val="24"/>
                <w:lang w:eastAsia="en-IN"/>
              </w:rPr>
              <w:t>xxxx</w:t>
            </w:r>
            <w:proofErr w:type="spellEnd"/>
          </w:p>
        </w:tc>
        <w:tc>
          <w:tcPr>
            <w:tcW w:w="9" w:type="dxa"/>
            <w:shd w:val="clear" w:color="auto" w:fill="000000"/>
            <w:vAlign w:val="bottom"/>
            <w:hideMark/>
          </w:tcPr>
          <w:p w14:paraId="3F7C2F6A"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53C99609" w14:textId="77777777" w:rsidTr="009B01C3">
        <w:trPr>
          <w:trHeight w:val="130"/>
          <w:tblCellSpacing w:w="0" w:type="dxa"/>
        </w:trPr>
        <w:tc>
          <w:tcPr>
            <w:tcW w:w="9" w:type="dxa"/>
            <w:shd w:val="clear" w:color="auto" w:fill="000000"/>
            <w:vAlign w:val="bottom"/>
            <w:hideMark/>
          </w:tcPr>
          <w:p w14:paraId="504D3F03"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502" w:type="dxa"/>
            <w:tcBorders>
              <w:bottom w:val="single" w:sz="4" w:space="0" w:color="000000"/>
            </w:tcBorders>
            <w:vAlign w:val="bottom"/>
            <w:hideMark/>
          </w:tcPr>
          <w:p w14:paraId="3E773C25" w14:textId="77777777" w:rsidR="009B01C3" w:rsidRPr="0062796D" w:rsidRDefault="009B01C3" w:rsidP="009B01C3">
            <w:pPr>
              <w:spacing w:after="0" w:line="121" w:lineRule="atLeast"/>
              <w:jc w:val="righ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ii.)</w:t>
            </w:r>
          </w:p>
        </w:tc>
        <w:tc>
          <w:tcPr>
            <w:tcW w:w="2499" w:type="dxa"/>
            <w:tcBorders>
              <w:bottom w:val="single" w:sz="4" w:space="0" w:color="000000"/>
            </w:tcBorders>
            <w:vAlign w:val="bottom"/>
            <w:hideMark/>
          </w:tcPr>
          <w:p w14:paraId="7F4B1A0D" w14:textId="77777777" w:rsidR="009B01C3" w:rsidRPr="0062796D" w:rsidRDefault="009B01C3" w:rsidP="009B01C3">
            <w:pPr>
              <w:spacing w:after="0" w:line="121"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Securities</w:t>
            </w:r>
          </w:p>
        </w:tc>
        <w:tc>
          <w:tcPr>
            <w:tcW w:w="1124" w:type="dxa"/>
            <w:tcBorders>
              <w:left w:val="single" w:sz="4" w:space="0" w:color="000000"/>
              <w:bottom w:val="single" w:sz="4" w:space="0" w:color="000000"/>
              <w:right w:val="single" w:sz="4" w:space="0" w:color="000000"/>
            </w:tcBorders>
            <w:vAlign w:val="bottom"/>
            <w:hideMark/>
          </w:tcPr>
          <w:p w14:paraId="7F3350EA"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031" w:type="dxa"/>
            <w:tcBorders>
              <w:bottom w:val="single" w:sz="4" w:space="0" w:color="000000"/>
            </w:tcBorders>
            <w:vAlign w:val="bottom"/>
            <w:hideMark/>
          </w:tcPr>
          <w:p w14:paraId="6EB42C4C" w14:textId="77777777" w:rsidR="009B01C3" w:rsidRPr="0062796D" w:rsidRDefault="009B01C3" w:rsidP="009B01C3">
            <w:pPr>
              <w:spacing w:after="0" w:line="121" w:lineRule="atLeast"/>
              <w:rPr>
                <w:rFonts w:ascii="Arial" w:eastAsia="Times New Roman" w:hAnsi="Arial" w:cs="Arial"/>
                <w:noProof w:val="0"/>
                <w:sz w:val="24"/>
                <w:szCs w:val="24"/>
                <w:lang w:eastAsia="en-IN"/>
              </w:rPr>
            </w:pPr>
            <w:proofErr w:type="spellStart"/>
            <w:r w:rsidRPr="0062796D">
              <w:rPr>
                <w:rFonts w:ascii="Arial" w:eastAsia="Times New Roman" w:hAnsi="Arial" w:cs="Arial"/>
                <w:noProof w:val="0"/>
                <w:sz w:val="24"/>
                <w:szCs w:val="24"/>
                <w:lang w:eastAsia="en-IN"/>
              </w:rPr>
              <w:t>xxxx</w:t>
            </w:r>
            <w:proofErr w:type="spellEnd"/>
          </w:p>
        </w:tc>
        <w:tc>
          <w:tcPr>
            <w:tcW w:w="9" w:type="dxa"/>
            <w:shd w:val="clear" w:color="auto" w:fill="000000"/>
            <w:vAlign w:val="bottom"/>
            <w:hideMark/>
          </w:tcPr>
          <w:p w14:paraId="1114533A"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bl>
    <w:p w14:paraId="30BC3C7F" w14:textId="36B1BC9A" w:rsidR="009B01C3" w:rsidRPr="0062796D" w:rsidRDefault="004631E5" w:rsidP="0062796D">
      <w:pPr>
        <w:spacing w:line="240" w:lineRule="auto"/>
        <w:rPr>
          <w:rFonts w:ascii="Times New Roman" w:eastAsia="Times New Roman" w:hAnsi="Times New Roman" w:cs="Times New Roman"/>
          <w:noProof w:val="0"/>
          <w:color w:val="000000"/>
          <w:sz w:val="24"/>
          <w:szCs w:val="24"/>
          <w:lang w:eastAsia="en-IN"/>
        </w:rPr>
      </w:pPr>
      <w:r w:rsidRPr="0062796D">
        <w:rPr>
          <w:rFonts w:ascii="Times New Roman" w:eastAsia="Times New Roman" w:hAnsi="Times New Roman" w:cs="Times New Roman"/>
          <w:color w:val="000000"/>
          <w:sz w:val="24"/>
          <w:szCs w:val="24"/>
          <w:lang w:eastAsia="en-IN"/>
        </w:rPr>
        <mc:AlternateContent>
          <mc:Choice Requires="wps">
            <w:drawing>
              <wp:inline distT="0" distB="0" distL="0" distR="0" wp14:anchorId="5B892517" wp14:editId="3760D9D1">
                <wp:extent cx="304800" cy="304800"/>
                <wp:effectExtent l="0" t="0" r="0" b="0"/>
                <wp:docPr id="2" name="p5img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BCEE58A" id="p5img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jvsAIAALI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V9Lo77ACAACy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9B01C3" w:rsidRPr="0062796D">
        <w:rPr>
          <w:rFonts w:ascii="Arial" w:eastAsia="Times New Roman" w:hAnsi="Arial" w:cs="Arial"/>
          <w:noProof w:val="0"/>
          <w:color w:val="000000"/>
          <w:sz w:val="24"/>
          <w:szCs w:val="24"/>
          <w:lang w:eastAsia="en-IN"/>
        </w:rPr>
        <w:t>iii.) Receivables</w:t>
      </w:r>
    </w:p>
    <w:p w14:paraId="40699626" w14:textId="77777777" w:rsidR="009B01C3" w:rsidRPr="0062796D" w:rsidRDefault="009B01C3" w:rsidP="009B01C3">
      <w:pPr>
        <w:spacing w:before="46" w:after="0"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The closing balance of the earmarked funds as reflected in point five of the above schedule on the liability side of the balance sheet of institution. The assets held against such fund, as detailed in point 6 of the above schedule are reflected on the assets side of the balance sheet. The capital expenditure made out of earmarked funds, leading to creation of fixed assets, are added in the schedule of Fixed of assets with corresponding addition to Capital Fund of the Institution.</w:t>
      </w:r>
    </w:p>
    <w:p w14:paraId="2DB20A9F" w14:textId="77777777" w:rsidR="009B01C3" w:rsidRPr="0062796D" w:rsidRDefault="009B01C3" w:rsidP="009B01C3">
      <w:pPr>
        <w:spacing w:before="46" w:after="0" w:line="139" w:lineRule="atLeast"/>
        <w:rPr>
          <w:rFonts w:ascii="Arial" w:eastAsia="Times New Roman" w:hAnsi="Arial" w:cs="Arial"/>
          <w:b/>
          <w:bCs/>
          <w:noProof w:val="0"/>
          <w:color w:val="000000"/>
          <w:sz w:val="24"/>
          <w:szCs w:val="24"/>
          <w:lang w:eastAsia="en-IN"/>
        </w:rPr>
      </w:pPr>
      <w:r w:rsidRPr="0062796D">
        <w:rPr>
          <w:rFonts w:ascii="Arial" w:eastAsia="Times New Roman" w:hAnsi="Arial" w:cs="Arial"/>
          <w:b/>
          <w:bCs/>
          <w:noProof w:val="0"/>
          <w:color w:val="000000"/>
          <w:sz w:val="24"/>
          <w:szCs w:val="24"/>
          <w:lang w:eastAsia="en-IN"/>
        </w:rPr>
        <w:t>Special Treatment of Grant(s) Received for Sponsored Projects and Schemes</w:t>
      </w:r>
    </w:p>
    <w:p w14:paraId="224E2EEF" w14:textId="77777777" w:rsidR="009B01C3" w:rsidRPr="0062796D" w:rsidRDefault="009B01C3" w:rsidP="009B01C3">
      <w:pPr>
        <w:spacing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 xml:space="preserve">Various Government departments/its agencies, such as DST, DBT, UGC, AICTE, etc., sanction grant(s) to Universities/Institutions to carry out specific research projects and other schemes. Such grant(s) are not similar to earmarked funds. In case of earmarked funds, though there exists some restriction on its usage but, the ownership of such fund as well as the assets created there from vest with the Institution only. Whereas, in case of the grant(s) received by an institution to carry out some specific projects and </w:t>
      </w:r>
      <w:proofErr w:type="gramStart"/>
      <w:r w:rsidRPr="0062796D">
        <w:rPr>
          <w:rFonts w:ascii="Arial" w:eastAsia="Times New Roman" w:hAnsi="Arial" w:cs="Arial"/>
          <w:noProof w:val="0"/>
          <w:color w:val="000000"/>
          <w:sz w:val="24"/>
          <w:szCs w:val="24"/>
          <w:lang w:eastAsia="en-IN"/>
        </w:rPr>
        <w:t>schemes(</w:t>
      </w:r>
      <w:proofErr w:type="gramEnd"/>
      <w:r w:rsidRPr="0062796D">
        <w:rPr>
          <w:rFonts w:ascii="Arial" w:eastAsia="Times New Roman" w:hAnsi="Arial" w:cs="Arial"/>
          <w:noProof w:val="0"/>
          <w:color w:val="000000"/>
          <w:sz w:val="24"/>
          <w:szCs w:val="24"/>
          <w:lang w:eastAsia="en-IN"/>
        </w:rPr>
        <w:t>sponsored by various Govt. agencies), the ownership of such fund continue to vest with the project sponsoring agency. Even the ownership of the assets created during the execution of such sponsored projects remains with the Govt., though the concerned institution continue to possess the same for utilization during the useful life of the assets so created. The status of receipt of such grant(s), utilization thereof and the closing balance (pending utilization) at the end of year is reflected in the financial statement through a separate schedule as follows:</w:t>
      </w:r>
    </w:p>
    <w:tbl>
      <w:tblPr>
        <w:tblW w:w="5193" w:type="dxa"/>
        <w:tblCellSpacing w:w="0" w:type="dxa"/>
        <w:tblCellMar>
          <w:left w:w="0" w:type="dxa"/>
          <w:right w:w="0" w:type="dxa"/>
        </w:tblCellMar>
        <w:tblLook w:val="04A0" w:firstRow="1" w:lastRow="0" w:firstColumn="1" w:lastColumn="0" w:noHBand="0" w:noVBand="1"/>
      </w:tblPr>
      <w:tblGrid>
        <w:gridCol w:w="68"/>
        <w:gridCol w:w="384"/>
        <w:gridCol w:w="67"/>
        <w:gridCol w:w="786"/>
        <w:gridCol w:w="67"/>
        <w:gridCol w:w="1076"/>
        <w:gridCol w:w="188"/>
        <w:gridCol w:w="1323"/>
        <w:gridCol w:w="67"/>
        <w:gridCol w:w="1100"/>
        <w:gridCol w:w="67"/>
      </w:tblGrid>
      <w:tr w:rsidR="009B01C3" w:rsidRPr="0062796D" w14:paraId="59BA0E2B" w14:textId="77777777" w:rsidTr="00F12257">
        <w:trPr>
          <w:trHeight w:val="469"/>
          <w:tblCellSpacing w:w="0" w:type="dxa"/>
        </w:trPr>
        <w:tc>
          <w:tcPr>
            <w:tcW w:w="9" w:type="dxa"/>
            <w:vAlign w:val="bottom"/>
            <w:hideMark/>
          </w:tcPr>
          <w:p w14:paraId="2C6B5101"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390" w:type="dxa"/>
            <w:vAlign w:val="bottom"/>
            <w:hideMark/>
          </w:tcPr>
          <w:p w14:paraId="2C0F6676"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9" w:type="dxa"/>
            <w:vAlign w:val="bottom"/>
            <w:hideMark/>
          </w:tcPr>
          <w:p w14:paraId="65DA8133"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808" w:type="dxa"/>
            <w:vAlign w:val="bottom"/>
            <w:hideMark/>
          </w:tcPr>
          <w:p w14:paraId="0A9B748C"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9" w:type="dxa"/>
            <w:vAlign w:val="bottom"/>
            <w:hideMark/>
          </w:tcPr>
          <w:p w14:paraId="08D2CB5F"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171" w:type="dxa"/>
            <w:vAlign w:val="bottom"/>
            <w:hideMark/>
          </w:tcPr>
          <w:p w14:paraId="5B9D2674" w14:textId="77777777" w:rsidR="009B01C3"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p w14:paraId="75774D97" w14:textId="77777777" w:rsidR="0062796D" w:rsidRDefault="0062796D" w:rsidP="009B01C3">
            <w:pPr>
              <w:spacing w:after="0" w:line="9" w:lineRule="atLeast"/>
              <w:rPr>
                <w:rFonts w:ascii="Arial" w:eastAsia="Times New Roman" w:hAnsi="Arial" w:cs="Arial"/>
                <w:noProof w:val="0"/>
                <w:sz w:val="24"/>
                <w:szCs w:val="24"/>
                <w:lang w:eastAsia="en-IN"/>
              </w:rPr>
            </w:pPr>
          </w:p>
          <w:p w14:paraId="7CE8A239" w14:textId="77777777" w:rsidR="0062796D" w:rsidRDefault="0062796D" w:rsidP="009B01C3">
            <w:pPr>
              <w:spacing w:after="0" w:line="9" w:lineRule="atLeast"/>
              <w:rPr>
                <w:rFonts w:ascii="Arial" w:eastAsia="Times New Roman" w:hAnsi="Arial" w:cs="Arial"/>
                <w:noProof w:val="0"/>
                <w:sz w:val="24"/>
                <w:szCs w:val="24"/>
                <w:lang w:eastAsia="en-IN"/>
              </w:rPr>
            </w:pPr>
          </w:p>
          <w:p w14:paraId="29260B12" w14:textId="77777777" w:rsidR="00D10035" w:rsidRDefault="00F12257" w:rsidP="009B01C3">
            <w:pPr>
              <w:spacing w:after="0" w:line="9" w:lineRule="atLeast"/>
              <w:rPr>
                <w:rFonts w:ascii="Arial" w:eastAsia="Times New Roman" w:hAnsi="Arial" w:cs="Arial"/>
                <w:b/>
                <w:bCs/>
                <w:noProof w:val="0"/>
                <w:sz w:val="24"/>
                <w:szCs w:val="24"/>
                <w:lang w:eastAsia="en-IN"/>
              </w:rPr>
            </w:pPr>
            <w:r>
              <w:rPr>
                <w:rFonts w:ascii="Arial" w:eastAsia="Times New Roman" w:hAnsi="Arial" w:cs="Arial"/>
                <w:b/>
                <w:bCs/>
                <w:noProof w:val="0"/>
                <w:sz w:val="24"/>
                <w:szCs w:val="24"/>
                <w:lang w:eastAsia="en-IN"/>
              </w:rPr>
              <w:t xml:space="preserve"> </w:t>
            </w:r>
          </w:p>
          <w:p w14:paraId="58504AC1" w14:textId="77777777" w:rsidR="00D10035" w:rsidRDefault="00D10035" w:rsidP="009B01C3">
            <w:pPr>
              <w:spacing w:after="0" w:line="9" w:lineRule="atLeast"/>
              <w:rPr>
                <w:rFonts w:ascii="Arial" w:eastAsia="Times New Roman" w:hAnsi="Arial" w:cs="Arial"/>
                <w:b/>
                <w:bCs/>
                <w:noProof w:val="0"/>
                <w:sz w:val="24"/>
                <w:szCs w:val="24"/>
                <w:lang w:eastAsia="en-IN"/>
              </w:rPr>
            </w:pPr>
          </w:p>
          <w:p w14:paraId="1B50A449" w14:textId="77777777" w:rsidR="00D10035" w:rsidRDefault="00D10035" w:rsidP="009B01C3">
            <w:pPr>
              <w:spacing w:after="0" w:line="9" w:lineRule="atLeast"/>
              <w:rPr>
                <w:rFonts w:ascii="Arial" w:eastAsia="Times New Roman" w:hAnsi="Arial" w:cs="Arial"/>
                <w:b/>
                <w:bCs/>
                <w:noProof w:val="0"/>
                <w:sz w:val="24"/>
                <w:szCs w:val="24"/>
                <w:lang w:eastAsia="en-IN"/>
              </w:rPr>
            </w:pPr>
          </w:p>
          <w:p w14:paraId="19D0AAF2" w14:textId="338389F5" w:rsidR="0062796D" w:rsidRPr="0062796D" w:rsidRDefault="00F12257" w:rsidP="009B01C3">
            <w:pPr>
              <w:spacing w:after="0" w:line="9" w:lineRule="atLeast"/>
              <w:rPr>
                <w:rFonts w:ascii="Arial" w:eastAsia="Times New Roman" w:hAnsi="Arial" w:cs="Arial"/>
                <w:noProof w:val="0"/>
                <w:sz w:val="24"/>
                <w:szCs w:val="24"/>
                <w:lang w:eastAsia="en-IN"/>
              </w:rPr>
            </w:pPr>
            <w:bookmarkStart w:id="0" w:name="_GoBack"/>
            <w:bookmarkEnd w:id="0"/>
            <w:r>
              <w:rPr>
                <w:rFonts w:ascii="Arial" w:eastAsia="Times New Roman" w:hAnsi="Arial" w:cs="Arial"/>
                <w:b/>
                <w:bCs/>
                <w:noProof w:val="0"/>
                <w:sz w:val="24"/>
                <w:szCs w:val="24"/>
                <w:lang w:eastAsia="en-IN"/>
              </w:rPr>
              <w:lastRenderedPageBreak/>
              <w:t xml:space="preserve"> </w:t>
            </w:r>
            <w:r w:rsidRPr="0062796D">
              <w:rPr>
                <w:rFonts w:ascii="Arial" w:eastAsia="Times New Roman" w:hAnsi="Arial" w:cs="Arial"/>
                <w:b/>
                <w:bCs/>
                <w:noProof w:val="0"/>
                <w:sz w:val="24"/>
                <w:szCs w:val="24"/>
                <w:lang w:eastAsia="en-IN"/>
              </w:rPr>
              <w:t>Table 5</w:t>
            </w:r>
          </w:p>
        </w:tc>
        <w:tc>
          <w:tcPr>
            <w:tcW w:w="1598" w:type="dxa"/>
            <w:gridSpan w:val="2"/>
            <w:vAlign w:val="bottom"/>
            <w:hideMark/>
          </w:tcPr>
          <w:p w14:paraId="753AB890" w14:textId="1AD94988" w:rsidR="009B01C3" w:rsidRPr="0062796D" w:rsidRDefault="009B01C3" w:rsidP="009B01C3">
            <w:pPr>
              <w:spacing w:after="0" w:line="139" w:lineRule="atLeast"/>
              <w:rPr>
                <w:rFonts w:ascii="Arial" w:eastAsia="Times New Roman" w:hAnsi="Arial" w:cs="Arial"/>
                <w:b/>
                <w:bCs/>
                <w:noProof w:val="0"/>
                <w:sz w:val="24"/>
                <w:szCs w:val="24"/>
                <w:lang w:eastAsia="en-IN"/>
              </w:rPr>
            </w:pPr>
          </w:p>
        </w:tc>
        <w:tc>
          <w:tcPr>
            <w:tcW w:w="9" w:type="dxa"/>
            <w:vAlign w:val="bottom"/>
            <w:hideMark/>
          </w:tcPr>
          <w:p w14:paraId="68C7646C"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171" w:type="dxa"/>
            <w:vAlign w:val="bottom"/>
            <w:hideMark/>
          </w:tcPr>
          <w:p w14:paraId="446463AB"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9" w:type="dxa"/>
            <w:vAlign w:val="bottom"/>
            <w:hideMark/>
          </w:tcPr>
          <w:p w14:paraId="5A506831"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37E53B4A" w14:textId="77777777" w:rsidTr="009B01C3">
        <w:trPr>
          <w:trHeight w:val="28"/>
          <w:tblCellSpacing w:w="0" w:type="dxa"/>
        </w:trPr>
        <w:tc>
          <w:tcPr>
            <w:tcW w:w="9" w:type="dxa"/>
            <w:vAlign w:val="bottom"/>
            <w:hideMark/>
          </w:tcPr>
          <w:p w14:paraId="51BE76D0" w14:textId="77777777" w:rsidR="009B01C3" w:rsidRPr="0062796D" w:rsidRDefault="009B01C3" w:rsidP="009B01C3">
            <w:pPr>
              <w:spacing w:after="0" w:line="28"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lastRenderedPageBreak/>
              <w:t> </w:t>
            </w:r>
          </w:p>
        </w:tc>
        <w:tc>
          <w:tcPr>
            <w:tcW w:w="390" w:type="dxa"/>
            <w:tcBorders>
              <w:bottom w:val="single" w:sz="4" w:space="0" w:color="000000"/>
            </w:tcBorders>
            <w:vAlign w:val="bottom"/>
            <w:hideMark/>
          </w:tcPr>
          <w:p w14:paraId="12E0F8AF" w14:textId="77777777" w:rsidR="009B01C3" w:rsidRPr="0062796D" w:rsidRDefault="009B01C3" w:rsidP="009B01C3">
            <w:pPr>
              <w:spacing w:after="0" w:line="1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9" w:type="dxa"/>
            <w:vMerge w:val="restart"/>
            <w:vAlign w:val="bottom"/>
            <w:hideMark/>
          </w:tcPr>
          <w:p w14:paraId="5BB1135C" w14:textId="77777777" w:rsidR="009B01C3" w:rsidRPr="0062796D" w:rsidRDefault="009B01C3" w:rsidP="009B01C3">
            <w:pPr>
              <w:spacing w:after="0" w:line="46"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808" w:type="dxa"/>
            <w:tcBorders>
              <w:bottom w:val="single" w:sz="4" w:space="0" w:color="000000"/>
            </w:tcBorders>
            <w:vAlign w:val="bottom"/>
            <w:hideMark/>
          </w:tcPr>
          <w:p w14:paraId="33409CB2" w14:textId="77777777" w:rsidR="009B01C3" w:rsidRPr="0062796D" w:rsidRDefault="009B01C3" w:rsidP="009B01C3">
            <w:pPr>
              <w:spacing w:after="0" w:line="1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9" w:type="dxa"/>
            <w:vMerge w:val="restart"/>
            <w:vAlign w:val="bottom"/>
            <w:hideMark/>
          </w:tcPr>
          <w:p w14:paraId="50C81E32" w14:textId="77777777" w:rsidR="009B01C3" w:rsidRPr="0062796D" w:rsidRDefault="009B01C3" w:rsidP="009B01C3">
            <w:pPr>
              <w:spacing w:after="0" w:line="46"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171" w:type="dxa"/>
            <w:tcBorders>
              <w:bottom w:val="single" w:sz="4" w:space="0" w:color="000000"/>
            </w:tcBorders>
            <w:vAlign w:val="bottom"/>
            <w:hideMark/>
          </w:tcPr>
          <w:p w14:paraId="283B5396" w14:textId="77777777" w:rsidR="009B01C3" w:rsidRPr="0062796D" w:rsidRDefault="009B01C3" w:rsidP="009B01C3">
            <w:pPr>
              <w:spacing w:after="0" w:line="1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251" w:type="dxa"/>
            <w:tcBorders>
              <w:bottom w:val="single" w:sz="4" w:space="0" w:color="000000"/>
            </w:tcBorders>
            <w:vAlign w:val="bottom"/>
            <w:hideMark/>
          </w:tcPr>
          <w:p w14:paraId="070258CB" w14:textId="77777777" w:rsidR="009B01C3" w:rsidRPr="0062796D" w:rsidRDefault="009B01C3" w:rsidP="009B01C3">
            <w:pPr>
              <w:spacing w:after="0" w:line="1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347" w:type="dxa"/>
            <w:tcBorders>
              <w:bottom w:val="single" w:sz="4" w:space="0" w:color="000000"/>
            </w:tcBorders>
            <w:vAlign w:val="bottom"/>
            <w:hideMark/>
          </w:tcPr>
          <w:p w14:paraId="0015192D" w14:textId="77777777" w:rsidR="009B01C3" w:rsidRPr="0062796D" w:rsidRDefault="009B01C3" w:rsidP="009B01C3">
            <w:pPr>
              <w:spacing w:after="0" w:line="1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9" w:type="dxa"/>
            <w:vMerge w:val="restart"/>
            <w:vAlign w:val="bottom"/>
            <w:hideMark/>
          </w:tcPr>
          <w:p w14:paraId="44737404" w14:textId="77777777" w:rsidR="009B01C3" w:rsidRPr="0062796D" w:rsidRDefault="009B01C3" w:rsidP="009B01C3">
            <w:pPr>
              <w:spacing w:after="0" w:line="46"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171" w:type="dxa"/>
            <w:tcBorders>
              <w:bottom w:val="single" w:sz="4" w:space="0" w:color="000000"/>
            </w:tcBorders>
            <w:vAlign w:val="bottom"/>
            <w:hideMark/>
          </w:tcPr>
          <w:p w14:paraId="1C369ECA" w14:textId="77777777" w:rsidR="009B01C3" w:rsidRPr="0062796D" w:rsidRDefault="009B01C3" w:rsidP="009B01C3">
            <w:pPr>
              <w:spacing w:after="0" w:line="1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9" w:type="dxa"/>
            <w:vAlign w:val="bottom"/>
            <w:hideMark/>
          </w:tcPr>
          <w:p w14:paraId="76766A9F" w14:textId="77777777" w:rsidR="009B01C3" w:rsidRPr="0062796D" w:rsidRDefault="009B01C3" w:rsidP="009B01C3">
            <w:pPr>
              <w:spacing w:after="0" w:line="28"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5905C158" w14:textId="77777777" w:rsidTr="009B01C3">
        <w:trPr>
          <w:trHeight w:val="19"/>
          <w:tblCellSpacing w:w="0" w:type="dxa"/>
        </w:trPr>
        <w:tc>
          <w:tcPr>
            <w:tcW w:w="9" w:type="dxa"/>
            <w:vAlign w:val="bottom"/>
            <w:hideMark/>
          </w:tcPr>
          <w:p w14:paraId="70206484" w14:textId="77777777" w:rsidR="009B01C3" w:rsidRPr="0062796D" w:rsidRDefault="009B01C3" w:rsidP="009B01C3">
            <w:pPr>
              <w:spacing w:after="0" w:line="1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390" w:type="dxa"/>
            <w:vMerge w:val="restart"/>
            <w:vAlign w:val="bottom"/>
            <w:hideMark/>
          </w:tcPr>
          <w:p w14:paraId="25BD059B" w14:textId="77777777" w:rsidR="009B01C3" w:rsidRPr="0062796D" w:rsidRDefault="009B01C3" w:rsidP="009B01C3">
            <w:pPr>
              <w:spacing w:after="0" w:line="19" w:lineRule="atLeast"/>
              <w:jc w:val="center"/>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Sr.</w:t>
            </w:r>
          </w:p>
        </w:tc>
        <w:tc>
          <w:tcPr>
            <w:tcW w:w="0" w:type="auto"/>
            <w:vMerge/>
            <w:vAlign w:val="center"/>
            <w:hideMark/>
          </w:tcPr>
          <w:p w14:paraId="5F8CC347" w14:textId="77777777" w:rsidR="009B01C3" w:rsidRPr="0062796D" w:rsidRDefault="009B01C3" w:rsidP="009B01C3">
            <w:pPr>
              <w:spacing w:after="0" w:line="240" w:lineRule="auto"/>
              <w:rPr>
                <w:rFonts w:ascii="Arial" w:eastAsia="Times New Roman" w:hAnsi="Arial" w:cs="Arial"/>
                <w:noProof w:val="0"/>
                <w:sz w:val="24"/>
                <w:szCs w:val="24"/>
                <w:lang w:eastAsia="en-IN"/>
              </w:rPr>
            </w:pPr>
          </w:p>
        </w:tc>
        <w:tc>
          <w:tcPr>
            <w:tcW w:w="808" w:type="dxa"/>
            <w:vMerge w:val="restart"/>
            <w:vAlign w:val="bottom"/>
            <w:hideMark/>
          </w:tcPr>
          <w:p w14:paraId="362C6EEF" w14:textId="77777777" w:rsidR="009B01C3" w:rsidRPr="0062796D" w:rsidRDefault="009B01C3" w:rsidP="009B01C3">
            <w:pPr>
              <w:spacing w:after="0" w:line="19" w:lineRule="atLeast"/>
              <w:jc w:val="center"/>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Name of</w:t>
            </w:r>
          </w:p>
        </w:tc>
        <w:tc>
          <w:tcPr>
            <w:tcW w:w="0" w:type="auto"/>
            <w:vMerge/>
            <w:vAlign w:val="center"/>
            <w:hideMark/>
          </w:tcPr>
          <w:p w14:paraId="61A88F21" w14:textId="77777777" w:rsidR="009B01C3" w:rsidRPr="0062796D" w:rsidRDefault="009B01C3" w:rsidP="009B01C3">
            <w:pPr>
              <w:spacing w:after="0" w:line="240" w:lineRule="auto"/>
              <w:rPr>
                <w:rFonts w:ascii="Arial" w:eastAsia="Times New Roman" w:hAnsi="Arial" w:cs="Arial"/>
                <w:noProof w:val="0"/>
                <w:sz w:val="24"/>
                <w:szCs w:val="24"/>
                <w:lang w:eastAsia="en-IN"/>
              </w:rPr>
            </w:pPr>
          </w:p>
        </w:tc>
        <w:tc>
          <w:tcPr>
            <w:tcW w:w="1171" w:type="dxa"/>
            <w:vMerge w:val="restart"/>
            <w:vAlign w:val="bottom"/>
            <w:hideMark/>
          </w:tcPr>
          <w:p w14:paraId="1A87C9B2" w14:textId="77777777" w:rsidR="009B01C3" w:rsidRPr="0062796D" w:rsidRDefault="009B01C3" w:rsidP="009B01C3">
            <w:pPr>
              <w:spacing w:after="0" w:line="19" w:lineRule="atLeast"/>
              <w:jc w:val="center"/>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Amount received</w:t>
            </w:r>
          </w:p>
        </w:tc>
        <w:tc>
          <w:tcPr>
            <w:tcW w:w="251" w:type="dxa"/>
            <w:vAlign w:val="bottom"/>
            <w:hideMark/>
          </w:tcPr>
          <w:p w14:paraId="665169EF" w14:textId="77777777" w:rsidR="009B01C3" w:rsidRPr="0062796D" w:rsidRDefault="009B01C3" w:rsidP="009B01C3">
            <w:pPr>
              <w:spacing w:after="0" w:line="1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347" w:type="dxa"/>
            <w:vMerge w:val="restart"/>
            <w:vAlign w:val="bottom"/>
            <w:hideMark/>
          </w:tcPr>
          <w:p w14:paraId="5C59DF79" w14:textId="77777777" w:rsidR="009B01C3" w:rsidRPr="0062796D" w:rsidRDefault="009B01C3" w:rsidP="009B01C3">
            <w:pPr>
              <w:spacing w:after="0" w:line="19" w:lineRule="atLeast"/>
              <w:jc w:val="center"/>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Expenditure</w:t>
            </w:r>
          </w:p>
        </w:tc>
        <w:tc>
          <w:tcPr>
            <w:tcW w:w="0" w:type="auto"/>
            <w:vMerge/>
            <w:vAlign w:val="center"/>
            <w:hideMark/>
          </w:tcPr>
          <w:p w14:paraId="7EDF0323" w14:textId="77777777" w:rsidR="009B01C3" w:rsidRPr="0062796D" w:rsidRDefault="009B01C3" w:rsidP="009B01C3">
            <w:pPr>
              <w:spacing w:after="0" w:line="240" w:lineRule="auto"/>
              <w:rPr>
                <w:rFonts w:ascii="Arial" w:eastAsia="Times New Roman" w:hAnsi="Arial" w:cs="Arial"/>
                <w:noProof w:val="0"/>
                <w:sz w:val="24"/>
                <w:szCs w:val="24"/>
                <w:lang w:eastAsia="en-IN"/>
              </w:rPr>
            </w:pPr>
          </w:p>
        </w:tc>
        <w:tc>
          <w:tcPr>
            <w:tcW w:w="1171" w:type="dxa"/>
            <w:vMerge w:val="restart"/>
            <w:vAlign w:val="bottom"/>
            <w:hideMark/>
          </w:tcPr>
          <w:p w14:paraId="4C886248" w14:textId="77777777" w:rsidR="009B01C3" w:rsidRPr="0062796D" w:rsidRDefault="009B01C3" w:rsidP="009B01C3">
            <w:pPr>
              <w:spacing w:after="0" w:line="1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Closing Balance</w:t>
            </w:r>
          </w:p>
        </w:tc>
        <w:tc>
          <w:tcPr>
            <w:tcW w:w="9" w:type="dxa"/>
            <w:vAlign w:val="bottom"/>
            <w:hideMark/>
          </w:tcPr>
          <w:p w14:paraId="272F34B5" w14:textId="77777777" w:rsidR="009B01C3" w:rsidRPr="0062796D" w:rsidRDefault="009B01C3" w:rsidP="009B01C3">
            <w:pPr>
              <w:spacing w:after="0" w:line="1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5B9F4620" w14:textId="77777777" w:rsidTr="009B01C3">
        <w:trPr>
          <w:trHeight w:val="102"/>
          <w:tblCellSpacing w:w="0" w:type="dxa"/>
        </w:trPr>
        <w:tc>
          <w:tcPr>
            <w:tcW w:w="9" w:type="dxa"/>
            <w:shd w:val="clear" w:color="auto" w:fill="000000"/>
            <w:vAlign w:val="bottom"/>
            <w:hideMark/>
          </w:tcPr>
          <w:p w14:paraId="4CD732A5" w14:textId="77777777" w:rsidR="009B01C3" w:rsidRPr="0062796D" w:rsidRDefault="009B01C3" w:rsidP="009B01C3">
            <w:pPr>
              <w:spacing w:after="0" w:line="102"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0" w:type="auto"/>
            <w:vMerge/>
            <w:vAlign w:val="center"/>
            <w:hideMark/>
          </w:tcPr>
          <w:p w14:paraId="76BED06F" w14:textId="77777777" w:rsidR="009B01C3" w:rsidRPr="0062796D" w:rsidRDefault="009B01C3" w:rsidP="009B01C3">
            <w:pPr>
              <w:spacing w:after="0" w:line="240" w:lineRule="auto"/>
              <w:rPr>
                <w:rFonts w:ascii="Arial" w:eastAsia="Times New Roman" w:hAnsi="Arial" w:cs="Arial"/>
                <w:noProof w:val="0"/>
                <w:sz w:val="24"/>
                <w:szCs w:val="24"/>
                <w:lang w:eastAsia="en-IN"/>
              </w:rPr>
            </w:pPr>
          </w:p>
        </w:tc>
        <w:tc>
          <w:tcPr>
            <w:tcW w:w="9" w:type="dxa"/>
            <w:shd w:val="clear" w:color="auto" w:fill="000000"/>
            <w:vAlign w:val="bottom"/>
            <w:hideMark/>
          </w:tcPr>
          <w:p w14:paraId="114F3321" w14:textId="77777777" w:rsidR="009B01C3" w:rsidRPr="0062796D" w:rsidRDefault="009B01C3" w:rsidP="009B01C3">
            <w:pPr>
              <w:spacing w:after="0" w:line="102"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0" w:type="auto"/>
            <w:vMerge/>
            <w:vAlign w:val="center"/>
            <w:hideMark/>
          </w:tcPr>
          <w:p w14:paraId="266935C2" w14:textId="77777777" w:rsidR="009B01C3" w:rsidRPr="0062796D" w:rsidRDefault="009B01C3" w:rsidP="009B01C3">
            <w:pPr>
              <w:spacing w:after="0" w:line="240" w:lineRule="auto"/>
              <w:rPr>
                <w:rFonts w:ascii="Arial" w:eastAsia="Times New Roman" w:hAnsi="Arial" w:cs="Arial"/>
                <w:noProof w:val="0"/>
                <w:sz w:val="24"/>
                <w:szCs w:val="24"/>
                <w:lang w:eastAsia="en-IN"/>
              </w:rPr>
            </w:pPr>
          </w:p>
        </w:tc>
        <w:tc>
          <w:tcPr>
            <w:tcW w:w="19" w:type="dxa"/>
            <w:shd w:val="clear" w:color="auto" w:fill="000000"/>
            <w:vAlign w:val="bottom"/>
            <w:hideMark/>
          </w:tcPr>
          <w:p w14:paraId="2D4012DE" w14:textId="77777777" w:rsidR="009B01C3" w:rsidRPr="0062796D" w:rsidRDefault="009B01C3" w:rsidP="009B01C3">
            <w:pPr>
              <w:spacing w:after="0" w:line="102"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0" w:type="auto"/>
            <w:vMerge/>
            <w:vAlign w:val="center"/>
            <w:hideMark/>
          </w:tcPr>
          <w:p w14:paraId="0E209BC1" w14:textId="77777777" w:rsidR="009B01C3" w:rsidRPr="0062796D" w:rsidRDefault="009B01C3" w:rsidP="009B01C3">
            <w:pPr>
              <w:spacing w:after="0" w:line="240" w:lineRule="auto"/>
              <w:rPr>
                <w:rFonts w:ascii="Arial" w:eastAsia="Times New Roman" w:hAnsi="Arial" w:cs="Arial"/>
                <w:noProof w:val="0"/>
                <w:sz w:val="24"/>
                <w:szCs w:val="24"/>
                <w:lang w:eastAsia="en-IN"/>
              </w:rPr>
            </w:pPr>
          </w:p>
        </w:tc>
        <w:tc>
          <w:tcPr>
            <w:tcW w:w="242" w:type="dxa"/>
            <w:tcBorders>
              <w:right w:val="single" w:sz="4" w:space="0" w:color="000000"/>
            </w:tcBorders>
            <w:vAlign w:val="bottom"/>
            <w:hideMark/>
          </w:tcPr>
          <w:p w14:paraId="1403EB12" w14:textId="77777777" w:rsidR="009B01C3" w:rsidRPr="0062796D" w:rsidRDefault="009B01C3" w:rsidP="009B01C3">
            <w:pPr>
              <w:spacing w:after="0" w:line="102"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0" w:type="auto"/>
            <w:vMerge/>
            <w:vAlign w:val="center"/>
            <w:hideMark/>
          </w:tcPr>
          <w:p w14:paraId="755DCE9A" w14:textId="77777777" w:rsidR="009B01C3" w:rsidRPr="0062796D" w:rsidRDefault="009B01C3" w:rsidP="009B01C3">
            <w:pPr>
              <w:spacing w:after="0" w:line="240" w:lineRule="auto"/>
              <w:rPr>
                <w:rFonts w:ascii="Arial" w:eastAsia="Times New Roman" w:hAnsi="Arial" w:cs="Arial"/>
                <w:noProof w:val="0"/>
                <w:sz w:val="24"/>
                <w:szCs w:val="24"/>
                <w:lang w:eastAsia="en-IN"/>
              </w:rPr>
            </w:pPr>
          </w:p>
        </w:tc>
        <w:tc>
          <w:tcPr>
            <w:tcW w:w="9" w:type="dxa"/>
            <w:shd w:val="clear" w:color="auto" w:fill="000000"/>
            <w:vAlign w:val="bottom"/>
            <w:hideMark/>
          </w:tcPr>
          <w:p w14:paraId="2ACBEB93" w14:textId="77777777" w:rsidR="009B01C3" w:rsidRPr="0062796D" w:rsidRDefault="009B01C3" w:rsidP="009B01C3">
            <w:pPr>
              <w:spacing w:after="0" w:line="102"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0" w:type="auto"/>
            <w:vMerge/>
            <w:vAlign w:val="center"/>
            <w:hideMark/>
          </w:tcPr>
          <w:p w14:paraId="6C19232B" w14:textId="77777777" w:rsidR="009B01C3" w:rsidRPr="0062796D" w:rsidRDefault="009B01C3" w:rsidP="009B01C3">
            <w:pPr>
              <w:spacing w:after="0" w:line="240" w:lineRule="auto"/>
              <w:rPr>
                <w:rFonts w:ascii="Arial" w:eastAsia="Times New Roman" w:hAnsi="Arial" w:cs="Arial"/>
                <w:noProof w:val="0"/>
                <w:sz w:val="24"/>
                <w:szCs w:val="24"/>
                <w:lang w:eastAsia="en-IN"/>
              </w:rPr>
            </w:pPr>
          </w:p>
        </w:tc>
        <w:tc>
          <w:tcPr>
            <w:tcW w:w="9" w:type="dxa"/>
            <w:shd w:val="clear" w:color="auto" w:fill="000000"/>
            <w:vAlign w:val="bottom"/>
            <w:hideMark/>
          </w:tcPr>
          <w:p w14:paraId="1B670E60" w14:textId="77777777" w:rsidR="009B01C3" w:rsidRPr="0062796D" w:rsidRDefault="009B01C3" w:rsidP="009B01C3">
            <w:pPr>
              <w:spacing w:after="0" w:line="102"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0BEA3FDB" w14:textId="77777777" w:rsidTr="009B01C3">
        <w:trPr>
          <w:trHeight w:val="139"/>
          <w:tblCellSpacing w:w="0" w:type="dxa"/>
        </w:trPr>
        <w:tc>
          <w:tcPr>
            <w:tcW w:w="9" w:type="dxa"/>
            <w:shd w:val="clear" w:color="auto" w:fill="000000"/>
            <w:vAlign w:val="bottom"/>
            <w:hideMark/>
          </w:tcPr>
          <w:p w14:paraId="08521DE2"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390" w:type="dxa"/>
            <w:vAlign w:val="bottom"/>
            <w:hideMark/>
          </w:tcPr>
          <w:p w14:paraId="51511BED" w14:textId="77777777" w:rsidR="009B01C3" w:rsidRPr="0062796D" w:rsidRDefault="009B01C3" w:rsidP="009B01C3">
            <w:pPr>
              <w:spacing w:after="0" w:line="139" w:lineRule="atLeast"/>
              <w:jc w:val="center"/>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No.</w:t>
            </w:r>
          </w:p>
        </w:tc>
        <w:tc>
          <w:tcPr>
            <w:tcW w:w="9" w:type="dxa"/>
            <w:shd w:val="clear" w:color="auto" w:fill="000000"/>
            <w:vAlign w:val="bottom"/>
            <w:hideMark/>
          </w:tcPr>
          <w:p w14:paraId="2FA92F1C"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808" w:type="dxa"/>
            <w:vAlign w:val="bottom"/>
            <w:hideMark/>
          </w:tcPr>
          <w:p w14:paraId="0881211D" w14:textId="77777777" w:rsidR="009B01C3" w:rsidRPr="0062796D" w:rsidRDefault="009B01C3" w:rsidP="009B01C3">
            <w:pPr>
              <w:spacing w:after="0" w:line="130" w:lineRule="atLeast"/>
              <w:jc w:val="center"/>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Project</w:t>
            </w:r>
          </w:p>
        </w:tc>
        <w:tc>
          <w:tcPr>
            <w:tcW w:w="19" w:type="dxa"/>
            <w:shd w:val="clear" w:color="auto" w:fill="000000"/>
            <w:vAlign w:val="bottom"/>
            <w:hideMark/>
          </w:tcPr>
          <w:p w14:paraId="5CE00424"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171" w:type="dxa"/>
            <w:vAlign w:val="bottom"/>
            <w:hideMark/>
          </w:tcPr>
          <w:p w14:paraId="190BB22C" w14:textId="77777777" w:rsidR="009B01C3" w:rsidRPr="0062796D" w:rsidRDefault="009B01C3" w:rsidP="009B01C3">
            <w:pPr>
              <w:spacing w:after="0" w:line="130" w:lineRule="atLeast"/>
              <w:jc w:val="center"/>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During the Year</w:t>
            </w:r>
          </w:p>
        </w:tc>
        <w:tc>
          <w:tcPr>
            <w:tcW w:w="242" w:type="dxa"/>
            <w:tcBorders>
              <w:right w:val="single" w:sz="4" w:space="0" w:color="000000"/>
            </w:tcBorders>
            <w:vAlign w:val="bottom"/>
            <w:hideMark/>
          </w:tcPr>
          <w:p w14:paraId="70BEF455"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347" w:type="dxa"/>
            <w:vAlign w:val="bottom"/>
            <w:hideMark/>
          </w:tcPr>
          <w:p w14:paraId="68B0637A" w14:textId="77777777" w:rsidR="009B01C3" w:rsidRPr="0062796D" w:rsidRDefault="009B01C3" w:rsidP="009B01C3">
            <w:pPr>
              <w:spacing w:after="0" w:line="139" w:lineRule="atLeast"/>
              <w:jc w:val="center"/>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During the Year</w:t>
            </w:r>
          </w:p>
        </w:tc>
        <w:tc>
          <w:tcPr>
            <w:tcW w:w="9" w:type="dxa"/>
            <w:shd w:val="clear" w:color="auto" w:fill="000000"/>
            <w:vAlign w:val="bottom"/>
            <w:hideMark/>
          </w:tcPr>
          <w:p w14:paraId="51E5303D"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171" w:type="dxa"/>
            <w:vAlign w:val="bottom"/>
            <w:hideMark/>
          </w:tcPr>
          <w:p w14:paraId="607863BB" w14:textId="77777777" w:rsidR="009B01C3" w:rsidRPr="0062796D" w:rsidRDefault="009B01C3" w:rsidP="009B01C3">
            <w:pPr>
              <w:spacing w:after="0" w:line="13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(Unspent Grant)</w:t>
            </w:r>
          </w:p>
        </w:tc>
        <w:tc>
          <w:tcPr>
            <w:tcW w:w="9" w:type="dxa"/>
            <w:shd w:val="clear" w:color="auto" w:fill="000000"/>
            <w:vAlign w:val="bottom"/>
            <w:hideMark/>
          </w:tcPr>
          <w:p w14:paraId="0596F965"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r w:rsidR="009B01C3" w:rsidRPr="0062796D" w14:paraId="2E054166" w14:textId="77777777" w:rsidTr="009B01C3">
        <w:trPr>
          <w:trHeight w:val="130"/>
          <w:tblCellSpacing w:w="0" w:type="dxa"/>
        </w:trPr>
        <w:tc>
          <w:tcPr>
            <w:tcW w:w="9" w:type="dxa"/>
            <w:shd w:val="clear" w:color="auto" w:fill="000000"/>
            <w:vAlign w:val="bottom"/>
            <w:hideMark/>
          </w:tcPr>
          <w:p w14:paraId="34A075D2"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390" w:type="dxa"/>
            <w:tcBorders>
              <w:bottom w:val="single" w:sz="4" w:space="0" w:color="000000"/>
            </w:tcBorders>
            <w:vAlign w:val="bottom"/>
            <w:hideMark/>
          </w:tcPr>
          <w:p w14:paraId="0AD4DB26"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9" w:type="dxa"/>
            <w:shd w:val="clear" w:color="auto" w:fill="000000"/>
            <w:vAlign w:val="bottom"/>
            <w:hideMark/>
          </w:tcPr>
          <w:p w14:paraId="22E7FCD3"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808" w:type="dxa"/>
            <w:tcBorders>
              <w:bottom w:val="single" w:sz="4" w:space="0" w:color="000000"/>
            </w:tcBorders>
            <w:vAlign w:val="bottom"/>
            <w:hideMark/>
          </w:tcPr>
          <w:p w14:paraId="38DAF116"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9" w:type="dxa"/>
            <w:shd w:val="clear" w:color="auto" w:fill="000000"/>
            <w:vAlign w:val="bottom"/>
            <w:hideMark/>
          </w:tcPr>
          <w:p w14:paraId="425FA8F1"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171" w:type="dxa"/>
            <w:tcBorders>
              <w:bottom w:val="single" w:sz="4" w:space="0" w:color="000000"/>
            </w:tcBorders>
            <w:vAlign w:val="bottom"/>
            <w:hideMark/>
          </w:tcPr>
          <w:p w14:paraId="6AE0F81F" w14:textId="77777777" w:rsidR="009B01C3" w:rsidRPr="0062796D" w:rsidRDefault="009B01C3" w:rsidP="009B01C3">
            <w:pPr>
              <w:spacing w:after="0" w:line="121" w:lineRule="atLeast"/>
              <w:jc w:val="center"/>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(Cr)</w:t>
            </w:r>
          </w:p>
        </w:tc>
        <w:tc>
          <w:tcPr>
            <w:tcW w:w="242" w:type="dxa"/>
            <w:tcBorders>
              <w:bottom w:val="single" w:sz="4" w:space="0" w:color="000000"/>
              <w:right w:val="single" w:sz="4" w:space="0" w:color="000000"/>
            </w:tcBorders>
            <w:vAlign w:val="bottom"/>
            <w:hideMark/>
          </w:tcPr>
          <w:p w14:paraId="539B9D8B"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347" w:type="dxa"/>
            <w:tcBorders>
              <w:bottom w:val="single" w:sz="4" w:space="0" w:color="000000"/>
            </w:tcBorders>
            <w:vAlign w:val="bottom"/>
            <w:hideMark/>
          </w:tcPr>
          <w:p w14:paraId="13F7C713" w14:textId="77777777" w:rsidR="009B01C3" w:rsidRPr="0062796D" w:rsidRDefault="009B01C3" w:rsidP="009B01C3">
            <w:pPr>
              <w:spacing w:after="0" w:line="121" w:lineRule="atLeast"/>
              <w:jc w:val="center"/>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(Dr)</w:t>
            </w:r>
          </w:p>
        </w:tc>
        <w:tc>
          <w:tcPr>
            <w:tcW w:w="9" w:type="dxa"/>
            <w:shd w:val="clear" w:color="auto" w:fill="000000"/>
            <w:vAlign w:val="bottom"/>
            <w:hideMark/>
          </w:tcPr>
          <w:p w14:paraId="239CD4C2"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1171" w:type="dxa"/>
            <w:tcBorders>
              <w:bottom w:val="single" w:sz="4" w:space="0" w:color="000000"/>
            </w:tcBorders>
            <w:vAlign w:val="bottom"/>
            <w:hideMark/>
          </w:tcPr>
          <w:p w14:paraId="529ADA70"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c>
          <w:tcPr>
            <w:tcW w:w="9" w:type="dxa"/>
            <w:shd w:val="clear" w:color="auto" w:fill="000000"/>
            <w:vAlign w:val="bottom"/>
            <w:hideMark/>
          </w:tcPr>
          <w:p w14:paraId="19BACADD" w14:textId="77777777" w:rsidR="009B01C3" w:rsidRPr="0062796D" w:rsidRDefault="009B01C3" w:rsidP="009B01C3">
            <w:pPr>
              <w:spacing w:after="0" w:line="9" w:lineRule="atLeast"/>
              <w:rPr>
                <w:rFonts w:ascii="Arial" w:eastAsia="Times New Roman" w:hAnsi="Arial" w:cs="Arial"/>
                <w:noProof w:val="0"/>
                <w:sz w:val="24"/>
                <w:szCs w:val="24"/>
                <w:lang w:eastAsia="en-IN"/>
              </w:rPr>
            </w:pPr>
            <w:r w:rsidRPr="0062796D">
              <w:rPr>
                <w:rFonts w:ascii="Arial" w:eastAsia="Times New Roman" w:hAnsi="Arial" w:cs="Arial"/>
                <w:noProof w:val="0"/>
                <w:sz w:val="24"/>
                <w:szCs w:val="24"/>
                <w:lang w:eastAsia="en-IN"/>
              </w:rPr>
              <w:t> </w:t>
            </w:r>
          </w:p>
        </w:tc>
      </w:tr>
    </w:tbl>
    <w:p w14:paraId="1AAAB9FA" w14:textId="77777777" w:rsidR="009B01C3" w:rsidRPr="0062796D" w:rsidRDefault="009B01C3" w:rsidP="009B01C3">
      <w:pPr>
        <w:spacing w:before="167" w:after="0"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Unlike earmarked funds, the capital expenditure out of grants for sponsored projects is not reflected separately in the financial statements. Even the fixed assets created out of such grants are not reflected in the balance sheet of the institution as the ownership of such assets continues to vest with the sponsoring agency. The unspent grant (pending utilization) is treated as a current liability of the Institution and accordingly reflected in the liability side of the balance sheet.</w:t>
      </w:r>
    </w:p>
    <w:p w14:paraId="22AD7015" w14:textId="77777777" w:rsidR="009B01C3" w:rsidRPr="0062796D" w:rsidRDefault="009B01C3" w:rsidP="009B01C3">
      <w:pPr>
        <w:spacing w:before="46" w:after="0" w:line="139" w:lineRule="atLeast"/>
        <w:rPr>
          <w:rFonts w:ascii="Arial" w:eastAsia="Times New Roman" w:hAnsi="Arial" w:cs="Arial"/>
          <w:b/>
          <w:bCs/>
          <w:noProof w:val="0"/>
          <w:color w:val="000000"/>
          <w:sz w:val="24"/>
          <w:szCs w:val="24"/>
          <w:lang w:eastAsia="en-IN"/>
        </w:rPr>
      </w:pPr>
      <w:r w:rsidRPr="0062796D">
        <w:rPr>
          <w:rFonts w:ascii="Arial" w:eastAsia="Times New Roman" w:hAnsi="Arial" w:cs="Arial"/>
          <w:b/>
          <w:bCs/>
          <w:noProof w:val="0"/>
          <w:color w:val="000000"/>
          <w:sz w:val="24"/>
          <w:szCs w:val="24"/>
          <w:lang w:eastAsia="en-IN"/>
        </w:rPr>
        <w:t>Accounting of Expenditure on Employee Benefits and Disclosure Thereof</w:t>
      </w:r>
    </w:p>
    <w:p w14:paraId="72B19B4F" w14:textId="77777777" w:rsidR="009B01C3" w:rsidRPr="0062796D" w:rsidRDefault="009B01C3" w:rsidP="009B01C3">
      <w:pPr>
        <w:spacing w:after="0"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Most of the GIHEs are dependent on the govt. grants to meet their substantial portion of maintenance expenditure that largely includes expenditure on employee benefits. Therefore, it is very important for the institution to properly account for and make adequate disclosure of expenditure on employees benefits As per the Accounting Standard (AS) 15 issued by the Institute of Chartered Accountants of India (ICAI), the employee benefits have been classified into four types, i.e., Short term benefits (which includes monthly payment of salaries, wages, bonus, etc), long term benefits (that includes benefit of sabbatical leave, leave travel concession, etc), post-retirement benefits (e.g., gratuity</w:t>
      </w:r>
    </w:p>
    <w:p w14:paraId="22A0230E" w14:textId="77777777" w:rsidR="009B01C3" w:rsidRPr="0062796D" w:rsidRDefault="009B01C3" w:rsidP="009B01C3">
      <w:pPr>
        <w:spacing w:after="0" w:line="130" w:lineRule="atLeast"/>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&amp;pension) and terminal benefits. Depending upon the type of the employee benefit and the period within which a liability is falling due, the AS 15 (ICAI) has prescribed different method of measurement and recognition of expenditure on employee benefits. For example, if a liability is falling due beyond twelve months then the expenditure has to be measured after discounting. With regard to post-</w:t>
      </w:r>
      <w:proofErr w:type="spellStart"/>
      <w:r w:rsidRPr="0062796D">
        <w:rPr>
          <w:rFonts w:ascii="Arial" w:eastAsia="Times New Roman" w:hAnsi="Arial" w:cs="Arial"/>
          <w:noProof w:val="0"/>
          <w:color w:val="000000"/>
          <w:sz w:val="24"/>
          <w:szCs w:val="24"/>
          <w:lang w:eastAsia="en-IN"/>
        </w:rPr>
        <w:t>retirementbenefits</w:t>
      </w:r>
      <w:proofErr w:type="spellEnd"/>
      <w:r w:rsidRPr="0062796D">
        <w:rPr>
          <w:rFonts w:ascii="Arial" w:eastAsia="Times New Roman" w:hAnsi="Arial" w:cs="Arial"/>
          <w:noProof w:val="0"/>
          <w:color w:val="000000"/>
          <w:sz w:val="24"/>
          <w:szCs w:val="24"/>
          <w:lang w:eastAsia="en-IN"/>
        </w:rPr>
        <w:t xml:space="preserve"> the AS 15 (ICAI) prescribes use of actuarial techniques to measure the amount of employee benefit which is attributable to a given financial year.</w:t>
      </w:r>
    </w:p>
    <w:p w14:paraId="749728D7" w14:textId="18633514" w:rsidR="009B01C3" w:rsidRPr="0062796D" w:rsidRDefault="009B01C3" w:rsidP="0062796D">
      <w:pPr>
        <w:spacing w:before="46"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However, keeping in view the specific pay structure of the Government institutions and its reporting requirements, the financial reporting standard (FRS) notified by the MHRD classified the employee benefits into two categories instead of four. The first category includes the service benefits and the second category includes retirement and terminal benefits. The yearly expenditure on service benefits are directly charged to the income and expenditure account. Even the employer’s contribution towards pensioner funds under a defined contribution scheme (commonly known as New Pension Scheme or NPS) is also directly charged to income and expenditure account along with salaries, wages, medical facilities, etc. In case of retirement and terminal benefits (that includes payments towards Gratuity, Pension under a defined pensionary benefit scheme and leave encashment), only the provision required to be made in the given financial year is charged to income and expenditure account. Such yearly provision is calculated by using the actuarial techniques. The FRS (MHRD) has prescribed a</w:t>
      </w:r>
      <w:r w:rsidR="0062796D" w:rsidRPr="0062796D">
        <w:rPr>
          <w:rFonts w:ascii="Arial" w:eastAsia="Times New Roman" w:hAnsi="Arial" w:cs="Arial"/>
          <w:noProof w:val="0"/>
          <w:color w:val="000000"/>
          <w:sz w:val="24"/>
          <w:szCs w:val="24"/>
          <w:lang w:eastAsia="en-IN"/>
        </w:rPr>
        <w:t xml:space="preserve"> </w:t>
      </w:r>
      <w:r w:rsidRPr="0062796D">
        <w:rPr>
          <w:rFonts w:ascii="Arial" w:eastAsia="Times New Roman" w:hAnsi="Arial" w:cs="Arial"/>
          <w:noProof w:val="0"/>
          <w:color w:val="000000"/>
          <w:sz w:val="24"/>
          <w:szCs w:val="24"/>
          <w:lang w:eastAsia="en-IN"/>
        </w:rPr>
        <w:t>separate sub schedule of Staff Payments and benefits to disclose the working and calculation of yearly provision towards the retirement benefits as detailed here below:</w:t>
      </w:r>
    </w:p>
    <w:p w14:paraId="7FA0C4E3" w14:textId="77777777" w:rsidR="00F12257" w:rsidRDefault="00F12257" w:rsidP="009B01C3">
      <w:pPr>
        <w:spacing w:before="9" w:line="139" w:lineRule="atLeast"/>
        <w:rPr>
          <w:rFonts w:ascii="Arial" w:eastAsia="Times New Roman" w:hAnsi="Arial" w:cs="Arial"/>
          <w:b/>
          <w:bCs/>
          <w:noProof w:val="0"/>
          <w:color w:val="000000"/>
          <w:sz w:val="24"/>
          <w:szCs w:val="24"/>
          <w:lang w:eastAsia="en-IN"/>
        </w:rPr>
      </w:pPr>
      <w:r>
        <w:rPr>
          <w:rFonts w:ascii="Arial" w:eastAsia="Times New Roman" w:hAnsi="Arial" w:cs="Arial"/>
          <w:b/>
          <w:bCs/>
          <w:noProof w:val="0"/>
          <w:color w:val="000000"/>
          <w:sz w:val="24"/>
          <w:szCs w:val="24"/>
          <w:lang w:eastAsia="en-IN"/>
        </w:rPr>
        <w:t xml:space="preserve">       </w:t>
      </w:r>
    </w:p>
    <w:p w14:paraId="6606A76E" w14:textId="55AE41BC" w:rsidR="009B01C3" w:rsidRPr="0062796D" w:rsidRDefault="009B01C3" w:rsidP="009B01C3">
      <w:pPr>
        <w:spacing w:before="9" w:line="139" w:lineRule="atLeast"/>
        <w:rPr>
          <w:rFonts w:ascii="Arial" w:eastAsia="Times New Roman" w:hAnsi="Arial" w:cs="Arial"/>
          <w:b/>
          <w:bCs/>
          <w:noProof w:val="0"/>
          <w:color w:val="000000"/>
          <w:sz w:val="24"/>
          <w:szCs w:val="24"/>
          <w:lang w:eastAsia="en-IN"/>
        </w:rPr>
      </w:pPr>
      <w:r w:rsidRPr="0062796D">
        <w:rPr>
          <w:rFonts w:ascii="Arial" w:eastAsia="Times New Roman" w:hAnsi="Arial" w:cs="Arial"/>
          <w:b/>
          <w:bCs/>
          <w:noProof w:val="0"/>
          <w:color w:val="000000"/>
          <w:sz w:val="24"/>
          <w:szCs w:val="24"/>
          <w:lang w:eastAsia="en-IN"/>
        </w:rPr>
        <w:lastRenderedPageBreak/>
        <w:t>Table 6</w:t>
      </w:r>
    </w:p>
    <w:tbl>
      <w:tblPr>
        <w:tblW w:w="5184" w:type="dxa"/>
        <w:tblCellSpacing w:w="0" w:type="dxa"/>
        <w:tblCellMar>
          <w:left w:w="0" w:type="dxa"/>
          <w:right w:w="0" w:type="dxa"/>
        </w:tblCellMar>
        <w:tblLook w:val="04A0" w:firstRow="1" w:lastRow="0" w:firstColumn="1" w:lastColumn="0" w:noHBand="0" w:noVBand="1"/>
      </w:tblPr>
      <w:tblGrid>
        <w:gridCol w:w="1287"/>
        <w:gridCol w:w="944"/>
        <w:gridCol w:w="931"/>
        <w:gridCol w:w="1438"/>
        <w:gridCol w:w="584"/>
      </w:tblGrid>
      <w:tr w:rsidR="009B01C3" w:rsidRPr="0062796D" w14:paraId="138D595A" w14:textId="77777777" w:rsidTr="009B01C3">
        <w:trPr>
          <w:trHeight w:val="149"/>
          <w:tblCellSpacing w:w="0" w:type="dxa"/>
        </w:trPr>
        <w:tc>
          <w:tcPr>
            <w:tcW w:w="3001" w:type="dxa"/>
            <w:tcBorders>
              <w:top w:val="single" w:sz="4" w:space="0" w:color="000000"/>
              <w:left w:val="single" w:sz="4" w:space="0" w:color="000000"/>
              <w:right w:val="single" w:sz="4" w:space="0" w:color="000000"/>
            </w:tcBorders>
            <w:vAlign w:val="bottom"/>
            <w:hideMark/>
          </w:tcPr>
          <w:p w14:paraId="28521362"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Particular</w:t>
            </w:r>
          </w:p>
        </w:tc>
        <w:tc>
          <w:tcPr>
            <w:tcW w:w="520" w:type="dxa"/>
            <w:tcBorders>
              <w:top w:val="single" w:sz="4" w:space="0" w:color="000000"/>
              <w:right w:val="single" w:sz="4" w:space="0" w:color="000000"/>
            </w:tcBorders>
            <w:vAlign w:val="bottom"/>
            <w:hideMark/>
          </w:tcPr>
          <w:p w14:paraId="6FBE6A12"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Pension</w:t>
            </w:r>
          </w:p>
        </w:tc>
        <w:tc>
          <w:tcPr>
            <w:tcW w:w="520" w:type="dxa"/>
            <w:tcBorders>
              <w:top w:val="single" w:sz="4" w:space="0" w:color="000000"/>
              <w:right w:val="single" w:sz="4" w:space="0" w:color="000000"/>
            </w:tcBorders>
            <w:vAlign w:val="bottom"/>
            <w:hideMark/>
          </w:tcPr>
          <w:p w14:paraId="76F81BB6"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Gratuity</w:t>
            </w:r>
          </w:p>
        </w:tc>
        <w:tc>
          <w:tcPr>
            <w:tcW w:w="734" w:type="dxa"/>
            <w:tcBorders>
              <w:top w:val="single" w:sz="4" w:space="0" w:color="000000"/>
              <w:right w:val="single" w:sz="4" w:space="0" w:color="000000"/>
            </w:tcBorders>
            <w:vAlign w:val="bottom"/>
            <w:hideMark/>
          </w:tcPr>
          <w:p w14:paraId="274C19F8"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Leave</w:t>
            </w:r>
          </w:p>
        </w:tc>
        <w:tc>
          <w:tcPr>
            <w:tcW w:w="362" w:type="dxa"/>
            <w:tcBorders>
              <w:top w:val="single" w:sz="4" w:space="0" w:color="000000"/>
              <w:right w:val="single" w:sz="4" w:space="0" w:color="000000"/>
            </w:tcBorders>
            <w:vAlign w:val="bottom"/>
            <w:hideMark/>
          </w:tcPr>
          <w:p w14:paraId="2D8CF485" w14:textId="77777777" w:rsidR="009B01C3" w:rsidRPr="0062796D" w:rsidRDefault="009B01C3" w:rsidP="009B01C3">
            <w:pPr>
              <w:spacing w:after="0" w:line="130"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Total</w:t>
            </w:r>
          </w:p>
        </w:tc>
      </w:tr>
      <w:tr w:rsidR="009B01C3" w:rsidRPr="0062796D" w14:paraId="4E3BFB25" w14:textId="77777777" w:rsidTr="009B01C3">
        <w:trPr>
          <w:trHeight w:val="149"/>
          <w:tblCellSpacing w:w="0" w:type="dxa"/>
        </w:trPr>
        <w:tc>
          <w:tcPr>
            <w:tcW w:w="3001" w:type="dxa"/>
            <w:tcBorders>
              <w:left w:val="single" w:sz="4" w:space="0" w:color="000000"/>
              <w:bottom w:val="single" w:sz="4" w:space="0" w:color="000000"/>
              <w:right w:val="single" w:sz="4" w:space="0" w:color="000000"/>
            </w:tcBorders>
            <w:vAlign w:val="bottom"/>
            <w:hideMark/>
          </w:tcPr>
          <w:p w14:paraId="30A98CAA" w14:textId="77777777" w:rsidR="009B01C3" w:rsidRPr="0062796D" w:rsidRDefault="009B01C3" w:rsidP="009B01C3">
            <w:pPr>
              <w:spacing w:after="0" w:line="9"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 </w:t>
            </w:r>
          </w:p>
        </w:tc>
        <w:tc>
          <w:tcPr>
            <w:tcW w:w="520" w:type="dxa"/>
            <w:tcBorders>
              <w:bottom w:val="single" w:sz="4" w:space="0" w:color="000000"/>
              <w:right w:val="single" w:sz="4" w:space="0" w:color="000000"/>
            </w:tcBorders>
            <w:vAlign w:val="bottom"/>
            <w:hideMark/>
          </w:tcPr>
          <w:p w14:paraId="73862DB9" w14:textId="77777777" w:rsidR="009B01C3" w:rsidRPr="0062796D" w:rsidRDefault="009B01C3" w:rsidP="009B01C3">
            <w:pPr>
              <w:spacing w:after="0" w:line="9"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 </w:t>
            </w:r>
          </w:p>
        </w:tc>
        <w:tc>
          <w:tcPr>
            <w:tcW w:w="520" w:type="dxa"/>
            <w:tcBorders>
              <w:bottom w:val="single" w:sz="4" w:space="0" w:color="000000"/>
              <w:right w:val="single" w:sz="4" w:space="0" w:color="000000"/>
            </w:tcBorders>
            <w:vAlign w:val="bottom"/>
            <w:hideMark/>
          </w:tcPr>
          <w:p w14:paraId="7D94F57C" w14:textId="77777777" w:rsidR="009B01C3" w:rsidRPr="0062796D" w:rsidRDefault="009B01C3" w:rsidP="009B01C3">
            <w:pPr>
              <w:spacing w:after="0" w:line="9"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 </w:t>
            </w:r>
          </w:p>
        </w:tc>
        <w:tc>
          <w:tcPr>
            <w:tcW w:w="734" w:type="dxa"/>
            <w:tcBorders>
              <w:bottom w:val="single" w:sz="4" w:space="0" w:color="000000"/>
              <w:right w:val="single" w:sz="4" w:space="0" w:color="000000"/>
            </w:tcBorders>
            <w:vAlign w:val="bottom"/>
            <w:hideMark/>
          </w:tcPr>
          <w:p w14:paraId="569A89CF" w14:textId="77777777" w:rsidR="009B01C3" w:rsidRPr="0062796D" w:rsidRDefault="009B01C3" w:rsidP="009B01C3">
            <w:pPr>
              <w:spacing w:after="0" w:line="111" w:lineRule="atLeast"/>
              <w:jc w:val="center"/>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Encashment</w:t>
            </w:r>
          </w:p>
        </w:tc>
        <w:tc>
          <w:tcPr>
            <w:tcW w:w="362" w:type="dxa"/>
            <w:tcBorders>
              <w:bottom w:val="single" w:sz="4" w:space="0" w:color="000000"/>
              <w:right w:val="single" w:sz="4" w:space="0" w:color="000000"/>
            </w:tcBorders>
            <w:vAlign w:val="bottom"/>
            <w:hideMark/>
          </w:tcPr>
          <w:p w14:paraId="01A5BC78" w14:textId="77777777" w:rsidR="009B01C3" w:rsidRPr="0062796D" w:rsidRDefault="009B01C3" w:rsidP="009B01C3">
            <w:pPr>
              <w:spacing w:after="0" w:line="9" w:lineRule="atLeast"/>
              <w:rPr>
                <w:rFonts w:ascii="Arial" w:eastAsia="Times New Roman" w:hAnsi="Arial" w:cs="Arial"/>
                <w:b/>
                <w:bCs/>
                <w:noProof w:val="0"/>
                <w:sz w:val="24"/>
                <w:szCs w:val="24"/>
                <w:lang w:eastAsia="en-IN"/>
              </w:rPr>
            </w:pPr>
            <w:r w:rsidRPr="0062796D">
              <w:rPr>
                <w:rFonts w:ascii="Arial" w:eastAsia="Times New Roman" w:hAnsi="Arial" w:cs="Arial"/>
                <w:b/>
                <w:bCs/>
                <w:noProof w:val="0"/>
                <w:sz w:val="24"/>
                <w:szCs w:val="24"/>
                <w:lang w:eastAsia="en-IN"/>
              </w:rPr>
              <w:t> </w:t>
            </w:r>
          </w:p>
        </w:tc>
      </w:tr>
    </w:tbl>
    <w:p w14:paraId="6E1E9315" w14:textId="77777777" w:rsidR="009B01C3" w:rsidRPr="0062796D" w:rsidRDefault="009B01C3" w:rsidP="009B01C3">
      <w:pPr>
        <w:spacing w:before="9" w:after="0" w:line="130" w:lineRule="atLeast"/>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(a) Opening balance of retirement Fund</w:t>
      </w:r>
    </w:p>
    <w:p w14:paraId="25FD6D5D" w14:textId="77777777" w:rsidR="009B01C3" w:rsidRPr="0062796D" w:rsidRDefault="009B01C3" w:rsidP="009B01C3">
      <w:pPr>
        <w:spacing w:before="46" w:after="0" w:line="130" w:lineRule="atLeast"/>
        <w:ind w:hanging="223"/>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(b)Addition: Capitalized value of Pensionary Contribution received during the year</w:t>
      </w:r>
    </w:p>
    <w:p w14:paraId="06594F72" w14:textId="77777777" w:rsidR="009B01C3" w:rsidRPr="0062796D" w:rsidRDefault="009B01C3" w:rsidP="009B01C3">
      <w:pPr>
        <w:spacing w:before="19" w:after="0" w:line="130" w:lineRule="atLeast"/>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(c) Total (</w:t>
      </w:r>
      <w:proofErr w:type="spellStart"/>
      <w:r w:rsidRPr="0062796D">
        <w:rPr>
          <w:rFonts w:ascii="Arial" w:eastAsia="Times New Roman" w:hAnsi="Arial" w:cs="Arial"/>
          <w:noProof w:val="0"/>
          <w:color w:val="000000"/>
          <w:sz w:val="24"/>
          <w:szCs w:val="24"/>
          <w:lang w:eastAsia="en-IN"/>
        </w:rPr>
        <w:t>a+b</w:t>
      </w:r>
      <w:proofErr w:type="spellEnd"/>
      <w:r w:rsidRPr="0062796D">
        <w:rPr>
          <w:rFonts w:ascii="Arial" w:eastAsia="Times New Roman" w:hAnsi="Arial" w:cs="Arial"/>
          <w:noProof w:val="0"/>
          <w:color w:val="000000"/>
          <w:sz w:val="24"/>
          <w:szCs w:val="24"/>
          <w:lang w:eastAsia="en-IN"/>
        </w:rPr>
        <w:t>)</w:t>
      </w:r>
    </w:p>
    <w:p w14:paraId="2B4986E8" w14:textId="77777777" w:rsidR="009B01C3" w:rsidRPr="0062796D" w:rsidRDefault="009B01C3" w:rsidP="009B01C3">
      <w:pPr>
        <w:spacing w:before="37" w:after="0" w:line="130" w:lineRule="atLeast"/>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(d) Less actual payments made during the year</w:t>
      </w:r>
    </w:p>
    <w:p w14:paraId="3EC9387D" w14:textId="77777777" w:rsidR="009B01C3" w:rsidRPr="0062796D" w:rsidRDefault="009B01C3" w:rsidP="009B01C3">
      <w:pPr>
        <w:spacing w:before="37" w:after="0" w:line="130" w:lineRule="atLeast"/>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(e) Balance at the end of the year (c-d)</w:t>
      </w:r>
    </w:p>
    <w:p w14:paraId="4888F4D1" w14:textId="77777777" w:rsidR="009B01C3" w:rsidRPr="0062796D" w:rsidRDefault="009B01C3" w:rsidP="009B01C3">
      <w:pPr>
        <w:spacing w:before="46" w:after="0" w:line="130" w:lineRule="atLeast"/>
        <w:ind w:hanging="223"/>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(f)Provision required as per Actuarial valuation at the end of the Financial Year</w:t>
      </w:r>
    </w:p>
    <w:p w14:paraId="4924D4DC" w14:textId="77777777" w:rsidR="009B01C3" w:rsidRPr="0062796D" w:rsidRDefault="009B01C3" w:rsidP="009B01C3">
      <w:pPr>
        <w:spacing w:before="19" w:after="0" w:line="130" w:lineRule="atLeast"/>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(g) Provision to be made during the Financial Year (f-e)</w:t>
      </w:r>
    </w:p>
    <w:p w14:paraId="2506DB15" w14:textId="77777777" w:rsidR="009B01C3" w:rsidRPr="0062796D" w:rsidRDefault="009B01C3" w:rsidP="009B01C3">
      <w:pPr>
        <w:spacing w:before="56" w:after="0"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 xml:space="preserve">After the implementation of FRS (MHRD) in 2015, the major issue faced by the institutions is as to how to build up the required Retirement Fund as per the actuarial valuation at the beginning of the financial year 2015-16, which is a prerequisite for the proper implementation of FRS (MHRD) on the basis of principles enunciated in AS 15 (ICAI). In case an institution makes the provision of an amount required as opening balance of Retirement Fund (as per the calculation under Actuarial valuation), without having a corresponding asset base, it is most likely that the whole of the capital of the Institution would get depleted. The possible solution to this is one-time financial support to all GIHEs to build up the required opening balance of </w:t>
      </w:r>
      <w:proofErr w:type="gramStart"/>
      <w:r w:rsidRPr="0062796D">
        <w:rPr>
          <w:rFonts w:ascii="Arial" w:eastAsia="Times New Roman" w:hAnsi="Arial" w:cs="Arial"/>
          <w:noProof w:val="0"/>
          <w:color w:val="000000"/>
          <w:sz w:val="24"/>
          <w:szCs w:val="24"/>
          <w:lang w:eastAsia="en-IN"/>
        </w:rPr>
        <w:t>Retirement Fund.</w:t>
      </w:r>
      <w:proofErr w:type="gramEnd"/>
      <w:r w:rsidRPr="0062796D">
        <w:rPr>
          <w:rFonts w:ascii="Arial" w:eastAsia="Times New Roman" w:hAnsi="Arial" w:cs="Arial"/>
          <w:noProof w:val="0"/>
          <w:color w:val="000000"/>
          <w:sz w:val="24"/>
          <w:szCs w:val="24"/>
          <w:lang w:eastAsia="en-IN"/>
        </w:rPr>
        <w:t xml:space="preserve"> In the absence of such support, those institutions could not build up the required Retirement Fund and thus are constrained to follow the principle of ‘pay as one goes’ to book the expenditure on retirement benefits.</w:t>
      </w:r>
    </w:p>
    <w:p w14:paraId="130F8255" w14:textId="77777777" w:rsidR="009B01C3" w:rsidRPr="0062796D" w:rsidRDefault="009B01C3" w:rsidP="009B01C3">
      <w:pPr>
        <w:spacing w:before="56" w:after="0" w:line="139" w:lineRule="atLeast"/>
        <w:rPr>
          <w:rFonts w:ascii="Arial" w:eastAsia="Times New Roman" w:hAnsi="Arial" w:cs="Arial"/>
          <w:b/>
          <w:bCs/>
          <w:noProof w:val="0"/>
          <w:color w:val="000000"/>
          <w:sz w:val="24"/>
          <w:szCs w:val="24"/>
          <w:lang w:eastAsia="en-IN"/>
        </w:rPr>
      </w:pPr>
      <w:r w:rsidRPr="0062796D">
        <w:rPr>
          <w:rFonts w:ascii="Arial" w:eastAsia="Times New Roman" w:hAnsi="Arial" w:cs="Arial"/>
          <w:b/>
          <w:bCs/>
          <w:noProof w:val="0"/>
          <w:color w:val="000000"/>
          <w:sz w:val="24"/>
          <w:szCs w:val="24"/>
          <w:lang w:eastAsia="en-IN"/>
        </w:rPr>
        <w:t>Conclusion and Suggestions</w:t>
      </w:r>
    </w:p>
    <w:p w14:paraId="5507B837" w14:textId="77777777" w:rsidR="009B01C3" w:rsidRPr="0062796D" w:rsidRDefault="009B01C3" w:rsidP="009B01C3">
      <w:pPr>
        <w:spacing w:after="0" w:line="130" w:lineRule="atLeast"/>
        <w:ind w:firstLine="446"/>
        <w:jc w:val="both"/>
        <w:rPr>
          <w:rFonts w:ascii="Arial" w:eastAsia="Times New Roman" w:hAnsi="Arial" w:cs="Arial"/>
          <w:noProof w:val="0"/>
          <w:color w:val="000000"/>
          <w:sz w:val="24"/>
          <w:szCs w:val="24"/>
          <w:lang w:eastAsia="en-IN"/>
        </w:rPr>
      </w:pPr>
      <w:r w:rsidRPr="0062796D">
        <w:rPr>
          <w:rFonts w:ascii="Arial" w:eastAsia="Times New Roman" w:hAnsi="Arial" w:cs="Arial"/>
          <w:noProof w:val="0"/>
          <w:color w:val="000000"/>
          <w:sz w:val="24"/>
          <w:szCs w:val="24"/>
          <w:lang w:eastAsia="en-IN"/>
        </w:rPr>
        <w:t>To conclude, during the past one decade the Central Government has indeed brought in the much-desired financial accounting and disclosure standard which are uniformly applicable to all the centrally funded higher education institutions. These standards are fully aligned with the specific needs of such institutions. However, most of the public institutions of State Government are still following their own traditional method and format of financial statements and reporting thereof, which are not in conformity with FRS (MHRD). There is also a need to review the accounting treatment of assets created out of sponsored projects. In specific following suggestions are made to ensure effective implementation of Uniform Financial Reporting Standard notified by the MHRD;</w:t>
      </w:r>
    </w:p>
    <w:p w14:paraId="2432FECF" w14:textId="77777777" w:rsidR="009B01C3" w:rsidRPr="0062796D" w:rsidRDefault="009B01C3" w:rsidP="009B01C3">
      <w:pPr>
        <w:spacing w:before="65" w:after="0" w:line="139" w:lineRule="atLeast"/>
        <w:ind w:hanging="446"/>
        <w:rPr>
          <w:rFonts w:ascii="Arial" w:eastAsia="Times New Roman" w:hAnsi="Arial" w:cs="Arial"/>
          <w:noProof w:val="0"/>
          <w:color w:val="000000"/>
          <w:sz w:val="24"/>
          <w:szCs w:val="24"/>
          <w:lang w:eastAsia="en-IN"/>
        </w:rPr>
      </w:pPr>
      <w:r w:rsidRPr="0062796D">
        <w:rPr>
          <w:rFonts w:ascii="Times New Roman" w:eastAsia="Times New Roman" w:hAnsi="Times New Roman" w:cs="Times New Roman"/>
          <w:noProof w:val="0"/>
          <w:color w:val="000000"/>
          <w:sz w:val="24"/>
          <w:szCs w:val="24"/>
          <w:lang w:eastAsia="en-IN"/>
        </w:rPr>
        <w:t>∙</w:t>
      </w:r>
      <w:r w:rsidRPr="0062796D">
        <w:rPr>
          <w:rFonts w:ascii="Arial" w:eastAsia="Times New Roman" w:hAnsi="Arial" w:cs="Arial"/>
          <w:noProof w:val="0"/>
          <w:color w:val="000000"/>
          <w:sz w:val="24"/>
          <w:szCs w:val="24"/>
          <w:lang w:eastAsia="en-IN"/>
        </w:rPr>
        <w:t>All the State Governments may be pursued to adopt such standard for implementation by all the public institutions established by respective State Legislation.</w:t>
      </w:r>
    </w:p>
    <w:p w14:paraId="53660318" w14:textId="77777777" w:rsidR="009B01C3" w:rsidRPr="0062796D" w:rsidRDefault="009B01C3" w:rsidP="009B01C3">
      <w:pPr>
        <w:spacing w:after="0" w:line="130" w:lineRule="atLeast"/>
        <w:ind w:hanging="446"/>
        <w:jc w:val="both"/>
        <w:rPr>
          <w:rFonts w:ascii="Arial" w:eastAsia="Times New Roman" w:hAnsi="Arial" w:cs="Arial"/>
          <w:noProof w:val="0"/>
          <w:color w:val="000000"/>
          <w:sz w:val="24"/>
          <w:szCs w:val="24"/>
          <w:lang w:eastAsia="en-IN"/>
        </w:rPr>
      </w:pPr>
      <w:r w:rsidRPr="0062796D">
        <w:rPr>
          <w:rFonts w:ascii="Times New Roman" w:eastAsia="Times New Roman" w:hAnsi="Times New Roman" w:cs="Times New Roman"/>
          <w:noProof w:val="0"/>
          <w:color w:val="000000"/>
          <w:sz w:val="24"/>
          <w:szCs w:val="24"/>
          <w:lang w:eastAsia="en-IN"/>
        </w:rPr>
        <w:t>∙</w:t>
      </w:r>
      <w:r w:rsidRPr="0062796D">
        <w:rPr>
          <w:rFonts w:ascii="Arial" w:eastAsia="Times New Roman" w:hAnsi="Arial" w:cs="Arial"/>
          <w:noProof w:val="0"/>
          <w:color w:val="000000"/>
          <w:sz w:val="24"/>
          <w:szCs w:val="24"/>
          <w:lang w:eastAsia="en-IN"/>
        </w:rPr>
        <w:t xml:space="preserve">With respect to the assets created out of fund released by any Governmental agency (to carry out any specific research project or a scheme), the ownership of which continue to vest with the sponsoring agency even after the completion of tenure of project, the FRS (MHRD) prescribes that such assets shall not be reflected in the balance sheet of the concerned institution disregarding the fact that after the completion of the project such assets are actually utilized by the institution for its other operations/activities . This standard missed out the fact that irrespective of the ownership of such an asset, the economic benefit and costs relating to such asset are actually </w:t>
      </w:r>
      <w:proofErr w:type="gramStart"/>
      <w:r w:rsidRPr="0062796D">
        <w:rPr>
          <w:rFonts w:ascii="Arial" w:eastAsia="Times New Roman" w:hAnsi="Arial" w:cs="Arial"/>
          <w:noProof w:val="0"/>
          <w:color w:val="000000"/>
          <w:sz w:val="24"/>
          <w:szCs w:val="24"/>
          <w:lang w:eastAsia="en-IN"/>
        </w:rPr>
        <w:t>enjoyed/borne</w:t>
      </w:r>
      <w:proofErr w:type="gramEnd"/>
      <w:r w:rsidRPr="0062796D">
        <w:rPr>
          <w:rFonts w:ascii="Arial" w:eastAsia="Times New Roman" w:hAnsi="Arial" w:cs="Arial"/>
          <w:noProof w:val="0"/>
          <w:color w:val="000000"/>
          <w:sz w:val="24"/>
          <w:szCs w:val="24"/>
          <w:lang w:eastAsia="en-IN"/>
        </w:rPr>
        <w:t xml:space="preserve"> by the institution. By not including such assets in the balance sheet, neither the book value/written down value get reflected in the books nor does the depreciation. This results in understatement of operational costs on the one hand and the understatement of assets employed in such institution on the other hand. To address this anomaly there is a need to review this standard.</w:t>
      </w:r>
    </w:p>
    <w:p w14:paraId="0B919CE5" w14:textId="77777777" w:rsidR="009B01C3" w:rsidRPr="0062796D" w:rsidRDefault="009B01C3" w:rsidP="009B01C3">
      <w:pPr>
        <w:spacing w:before="37" w:line="139" w:lineRule="atLeast"/>
        <w:ind w:hanging="446"/>
        <w:jc w:val="both"/>
        <w:rPr>
          <w:rFonts w:ascii="Arial" w:eastAsia="Times New Roman" w:hAnsi="Arial" w:cs="Arial"/>
          <w:noProof w:val="0"/>
          <w:color w:val="000000"/>
          <w:sz w:val="24"/>
          <w:szCs w:val="24"/>
          <w:lang w:eastAsia="en-IN"/>
        </w:rPr>
      </w:pPr>
      <w:r w:rsidRPr="0062796D">
        <w:rPr>
          <w:rFonts w:ascii="Times New Roman" w:eastAsia="Times New Roman" w:hAnsi="Times New Roman" w:cs="Times New Roman"/>
          <w:noProof w:val="0"/>
          <w:color w:val="000000"/>
          <w:sz w:val="24"/>
          <w:szCs w:val="24"/>
          <w:lang w:eastAsia="en-IN"/>
        </w:rPr>
        <w:lastRenderedPageBreak/>
        <w:t>∙</w:t>
      </w:r>
      <w:r w:rsidRPr="0062796D">
        <w:rPr>
          <w:rFonts w:ascii="Arial" w:eastAsia="Times New Roman" w:hAnsi="Arial" w:cs="Arial"/>
          <w:noProof w:val="0"/>
          <w:color w:val="000000"/>
          <w:sz w:val="24"/>
          <w:szCs w:val="24"/>
          <w:lang w:eastAsia="en-IN"/>
        </w:rPr>
        <w:t>In order to provide an adequate asset base corresponding to the provision Retirement Fund (to be calculated by following Actuarial Valuation technique), the Government may sanction a one- time grant to the concerned Institutio</w:t>
      </w:r>
      <w:r w:rsidRPr="0062796D">
        <w:rPr>
          <w:rFonts w:ascii="Arial" w:eastAsia="Times New Roman" w:hAnsi="Arial" w:cs="Arial"/>
          <w:b/>
          <w:bCs/>
          <w:noProof w:val="0"/>
          <w:color w:val="000000"/>
          <w:sz w:val="24"/>
          <w:szCs w:val="24"/>
          <w:lang w:eastAsia="en-IN"/>
        </w:rPr>
        <w:t>ns.</w:t>
      </w:r>
    </w:p>
    <w:p w14:paraId="2FFA1297" w14:textId="77777777" w:rsidR="009B01C3" w:rsidRPr="0062796D" w:rsidRDefault="009B01C3" w:rsidP="009B01C3">
      <w:pPr>
        <w:spacing w:before="242" w:after="0" w:line="139" w:lineRule="atLeast"/>
        <w:rPr>
          <w:rFonts w:ascii="Arial" w:eastAsia="Times New Roman" w:hAnsi="Arial" w:cs="Arial"/>
          <w:b/>
          <w:bCs/>
          <w:noProof w:val="0"/>
          <w:color w:val="000000"/>
          <w:sz w:val="24"/>
          <w:szCs w:val="24"/>
          <w:lang w:eastAsia="en-IN"/>
        </w:rPr>
      </w:pPr>
      <w:r w:rsidRPr="0062796D">
        <w:rPr>
          <w:rFonts w:ascii="Arial" w:eastAsia="Times New Roman" w:hAnsi="Arial" w:cs="Arial"/>
          <w:b/>
          <w:bCs/>
          <w:noProof w:val="0"/>
          <w:color w:val="000000"/>
          <w:sz w:val="24"/>
          <w:szCs w:val="24"/>
          <w:lang w:eastAsia="en-IN"/>
        </w:rPr>
        <w:t>References</w:t>
      </w:r>
    </w:p>
    <w:p w14:paraId="27A80A04" w14:textId="77777777" w:rsidR="009B01C3" w:rsidRPr="0062796D" w:rsidRDefault="009B01C3" w:rsidP="009B01C3">
      <w:pPr>
        <w:spacing w:before="37" w:after="0" w:line="139" w:lineRule="atLeast"/>
        <w:ind w:hanging="446"/>
        <w:jc w:val="both"/>
        <w:rPr>
          <w:rFonts w:ascii="Arial" w:eastAsia="Times New Roman" w:hAnsi="Arial" w:cs="Arial"/>
          <w:noProof w:val="0"/>
          <w:color w:val="000000"/>
          <w:sz w:val="24"/>
          <w:szCs w:val="24"/>
          <w:lang w:eastAsia="en-IN"/>
        </w:rPr>
      </w:pPr>
      <w:r w:rsidRPr="0062796D">
        <w:rPr>
          <w:rFonts w:ascii="Wingdings" w:eastAsia="Times New Roman" w:hAnsi="Wingdings" w:cs="Arial"/>
          <w:noProof w:val="0"/>
          <w:color w:val="000000"/>
          <w:sz w:val="24"/>
          <w:szCs w:val="24"/>
          <w:lang w:eastAsia="en-IN"/>
        </w:rPr>
        <w:sym w:font="Wingdings" w:char="F0D8"/>
      </w:r>
      <w:r w:rsidRPr="0062796D">
        <w:rPr>
          <w:rFonts w:ascii="Arial" w:eastAsia="Times New Roman" w:hAnsi="Arial" w:cs="Arial"/>
          <w:noProof w:val="0"/>
          <w:color w:val="000000"/>
          <w:sz w:val="24"/>
          <w:szCs w:val="24"/>
          <w:lang w:eastAsia="en-IN"/>
        </w:rPr>
        <w:t>B.S. Ramaswamy and A.M. Sherry (2010), Changing over to Accrual System of Accounting by Central Autonomous bodies &amp; Central Universities, The Chartered Accountant Journal, Vol. 58, No. 11, pp. 1775-1782</w:t>
      </w:r>
    </w:p>
    <w:p w14:paraId="74950927" w14:textId="77777777" w:rsidR="009B01C3" w:rsidRPr="0062796D" w:rsidRDefault="009B01C3" w:rsidP="009B01C3">
      <w:pPr>
        <w:spacing w:after="0" w:line="139" w:lineRule="atLeast"/>
        <w:ind w:hanging="446"/>
        <w:rPr>
          <w:rFonts w:ascii="Arial" w:eastAsia="Times New Roman" w:hAnsi="Arial" w:cs="Arial"/>
          <w:noProof w:val="0"/>
          <w:color w:val="000000"/>
          <w:sz w:val="24"/>
          <w:szCs w:val="24"/>
          <w:lang w:eastAsia="en-IN"/>
        </w:rPr>
      </w:pPr>
      <w:r w:rsidRPr="0062796D">
        <w:rPr>
          <w:rFonts w:ascii="Wingdings" w:eastAsia="Times New Roman" w:hAnsi="Wingdings" w:cs="Arial"/>
          <w:noProof w:val="0"/>
          <w:color w:val="000000"/>
          <w:sz w:val="24"/>
          <w:szCs w:val="24"/>
          <w:lang w:eastAsia="en-IN"/>
        </w:rPr>
        <w:sym w:font="Wingdings" w:char="F0D8"/>
      </w:r>
      <w:r w:rsidRPr="0062796D">
        <w:rPr>
          <w:rFonts w:ascii="Arial" w:eastAsia="Times New Roman" w:hAnsi="Arial" w:cs="Arial"/>
          <w:noProof w:val="0"/>
          <w:color w:val="000000"/>
          <w:sz w:val="24"/>
          <w:szCs w:val="24"/>
          <w:lang w:eastAsia="en-IN"/>
        </w:rPr>
        <w:t xml:space="preserve">K.P. </w:t>
      </w:r>
      <w:proofErr w:type="spellStart"/>
      <w:r w:rsidRPr="0062796D">
        <w:rPr>
          <w:rFonts w:ascii="Arial" w:eastAsia="Times New Roman" w:hAnsi="Arial" w:cs="Arial"/>
          <w:noProof w:val="0"/>
          <w:color w:val="000000"/>
          <w:sz w:val="24"/>
          <w:szCs w:val="24"/>
          <w:lang w:eastAsia="en-IN"/>
        </w:rPr>
        <w:t>Sasidharan</w:t>
      </w:r>
      <w:proofErr w:type="spellEnd"/>
      <w:r w:rsidRPr="0062796D">
        <w:rPr>
          <w:rFonts w:ascii="Arial" w:eastAsia="Times New Roman" w:hAnsi="Arial" w:cs="Arial"/>
          <w:noProof w:val="0"/>
          <w:color w:val="000000"/>
          <w:sz w:val="24"/>
          <w:szCs w:val="24"/>
          <w:lang w:eastAsia="en-IN"/>
        </w:rPr>
        <w:t xml:space="preserve"> (2011), Reforms in Government Accounting and Financial Reporting, </w:t>
      </w:r>
      <w:proofErr w:type="gramStart"/>
      <w:r w:rsidRPr="0062796D">
        <w:rPr>
          <w:rFonts w:ascii="Arial" w:eastAsia="Times New Roman" w:hAnsi="Arial" w:cs="Arial"/>
          <w:noProof w:val="0"/>
          <w:color w:val="000000"/>
          <w:sz w:val="24"/>
          <w:szCs w:val="24"/>
          <w:lang w:eastAsia="en-IN"/>
        </w:rPr>
        <w:t>The</w:t>
      </w:r>
      <w:proofErr w:type="gramEnd"/>
      <w:r w:rsidRPr="0062796D">
        <w:rPr>
          <w:rFonts w:ascii="Arial" w:eastAsia="Times New Roman" w:hAnsi="Arial" w:cs="Arial"/>
          <w:noProof w:val="0"/>
          <w:color w:val="000000"/>
          <w:sz w:val="24"/>
          <w:szCs w:val="24"/>
          <w:lang w:eastAsia="en-IN"/>
        </w:rPr>
        <w:t xml:space="preserve"> Chartered Accountant Journal, Vol. 60, No. 2, pp. 274-277</w:t>
      </w:r>
    </w:p>
    <w:p w14:paraId="148D04DF" w14:textId="77777777" w:rsidR="009B01C3" w:rsidRPr="0062796D" w:rsidRDefault="009B01C3" w:rsidP="009B01C3">
      <w:pPr>
        <w:spacing w:before="19" w:after="0" w:line="139" w:lineRule="atLeast"/>
        <w:rPr>
          <w:rFonts w:ascii="Arial" w:eastAsia="Times New Roman" w:hAnsi="Arial" w:cs="Arial"/>
          <w:noProof w:val="0"/>
          <w:color w:val="000000"/>
          <w:sz w:val="24"/>
          <w:szCs w:val="24"/>
          <w:lang w:eastAsia="en-IN"/>
        </w:rPr>
      </w:pPr>
      <w:r w:rsidRPr="0062796D">
        <w:rPr>
          <w:rFonts w:ascii="Wingdings" w:eastAsia="Times New Roman" w:hAnsi="Wingdings" w:cs="Arial"/>
          <w:noProof w:val="0"/>
          <w:color w:val="000000"/>
          <w:sz w:val="24"/>
          <w:szCs w:val="24"/>
          <w:lang w:eastAsia="en-IN"/>
        </w:rPr>
        <w:sym w:font="Wingdings" w:char="F0D8"/>
      </w:r>
      <w:r w:rsidRPr="0062796D">
        <w:rPr>
          <w:rFonts w:ascii="Arial" w:eastAsia="Times New Roman" w:hAnsi="Arial" w:cs="Arial"/>
          <w:noProof w:val="0"/>
          <w:color w:val="000000"/>
          <w:sz w:val="24"/>
          <w:szCs w:val="24"/>
          <w:lang w:eastAsia="en-IN"/>
        </w:rPr>
        <w:t>MHRD notification No.29-4/2012-IFD dated 17/04/2015</w:t>
      </w:r>
    </w:p>
    <w:p w14:paraId="0100A17A" w14:textId="77777777" w:rsidR="009B01C3" w:rsidRPr="0062796D" w:rsidRDefault="009B01C3" w:rsidP="009B01C3">
      <w:pPr>
        <w:spacing w:before="19" w:after="0" w:line="139" w:lineRule="atLeast"/>
        <w:rPr>
          <w:rFonts w:ascii="Arial" w:eastAsia="Times New Roman" w:hAnsi="Arial" w:cs="Arial"/>
          <w:noProof w:val="0"/>
          <w:color w:val="000000"/>
          <w:sz w:val="24"/>
          <w:szCs w:val="24"/>
          <w:lang w:eastAsia="en-IN"/>
        </w:rPr>
      </w:pPr>
      <w:r w:rsidRPr="0062796D">
        <w:rPr>
          <w:rFonts w:ascii="Wingdings" w:eastAsia="Times New Roman" w:hAnsi="Wingdings" w:cs="Arial"/>
          <w:noProof w:val="0"/>
          <w:color w:val="000000"/>
          <w:sz w:val="24"/>
          <w:szCs w:val="24"/>
          <w:lang w:eastAsia="en-IN"/>
        </w:rPr>
        <w:sym w:font="Wingdings" w:char="F0D8"/>
      </w:r>
      <w:r w:rsidRPr="0062796D">
        <w:rPr>
          <w:rFonts w:ascii="Arial" w:eastAsia="Times New Roman" w:hAnsi="Arial" w:cs="Arial"/>
          <w:noProof w:val="0"/>
          <w:color w:val="000000"/>
          <w:sz w:val="24"/>
          <w:szCs w:val="24"/>
          <w:lang w:eastAsia="en-IN"/>
        </w:rPr>
        <w:t xml:space="preserve">MHRD Report “Educational Statistics- </w:t>
      </w:r>
      <w:proofErr w:type="gramStart"/>
      <w:r w:rsidRPr="0062796D">
        <w:rPr>
          <w:rFonts w:ascii="Arial" w:eastAsia="Times New Roman" w:hAnsi="Arial" w:cs="Arial"/>
          <w:noProof w:val="0"/>
          <w:color w:val="000000"/>
          <w:sz w:val="24"/>
          <w:szCs w:val="24"/>
          <w:lang w:eastAsia="en-IN"/>
        </w:rPr>
        <w:t>At</w:t>
      </w:r>
      <w:proofErr w:type="gramEnd"/>
      <w:r w:rsidRPr="0062796D">
        <w:rPr>
          <w:rFonts w:ascii="Arial" w:eastAsia="Times New Roman" w:hAnsi="Arial" w:cs="Arial"/>
          <w:noProof w:val="0"/>
          <w:color w:val="000000"/>
          <w:sz w:val="24"/>
          <w:szCs w:val="24"/>
          <w:lang w:eastAsia="en-IN"/>
        </w:rPr>
        <w:t xml:space="preserve"> a Glance” 2016(website: http://mhrd.gov.in/statist)</w:t>
      </w:r>
    </w:p>
    <w:p w14:paraId="103F7D38" w14:textId="77777777" w:rsidR="009B01C3" w:rsidRPr="0062796D" w:rsidRDefault="009B01C3" w:rsidP="009B01C3">
      <w:pPr>
        <w:spacing w:before="28" w:after="0" w:line="139" w:lineRule="atLeast"/>
        <w:ind w:hanging="446"/>
        <w:rPr>
          <w:rFonts w:ascii="Arial" w:eastAsia="Times New Roman" w:hAnsi="Arial" w:cs="Arial"/>
          <w:noProof w:val="0"/>
          <w:color w:val="000000"/>
          <w:sz w:val="24"/>
          <w:szCs w:val="24"/>
          <w:lang w:eastAsia="en-IN"/>
        </w:rPr>
      </w:pPr>
      <w:r w:rsidRPr="0062796D">
        <w:rPr>
          <w:rFonts w:ascii="Wingdings" w:eastAsia="Times New Roman" w:hAnsi="Wingdings" w:cs="Arial"/>
          <w:noProof w:val="0"/>
          <w:color w:val="000000"/>
          <w:sz w:val="24"/>
          <w:szCs w:val="24"/>
          <w:lang w:eastAsia="en-IN"/>
        </w:rPr>
        <w:sym w:font="Wingdings" w:char="F0D8"/>
      </w:r>
      <w:r w:rsidRPr="0062796D">
        <w:rPr>
          <w:rFonts w:ascii="Arial" w:eastAsia="Times New Roman" w:hAnsi="Arial" w:cs="Arial"/>
          <w:noProof w:val="0"/>
          <w:color w:val="000000"/>
          <w:sz w:val="24"/>
          <w:szCs w:val="24"/>
          <w:lang w:eastAsia="en-IN"/>
        </w:rPr>
        <w:t xml:space="preserve">Pankaj Sharma (2018), Accounting for Staff Advances under Ind AS, </w:t>
      </w:r>
      <w:proofErr w:type="gramStart"/>
      <w:r w:rsidRPr="0062796D">
        <w:rPr>
          <w:rFonts w:ascii="Arial" w:eastAsia="Times New Roman" w:hAnsi="Arial" w:cs="Arial"/>
          <w:noProof w:val="0"/>
          <w:color w:val="000000"/>
          <w:sz w:val="24"/>
          <w:szCs w:val="24"/>
          <w:lang w:eastAsia="en-IN"/>
        </w:rPr>
        <w:t>The</w:t>
      </w:r>
      <w:proofErr w:type="gramEnd"/>
      <w:r w:rsidRPr="0062796D">
        <w:rPr>
          <w:rFonts w:ascii="Arial" w:eastAsia="Times New Roman" w:hAnsi="Arial" w:cs="Arial"/>
          <w:noProof w:val="0"/>
          <w:color w:val="000000"/>
          <w:sz w:val="24"/>
          <w:szCs w:val="24"/>
          <w:lang w:eastAsia="en-IN"/>
        </w:rPr>
        <w:t xml:space="preserve"> Chartered Accountant Journal, Vol. 66, No. 10, pp. 1398-1400</w:t>
      </w:r>
    </w:p>
    <w:p w14:paraId="6EB39426" w14:textId="77777777" w:rsidR="009B01C3" w:rsidRPr="0062796D" w:rsidRDefault="009B01C3" w:rsidP="009B01C3">
      <w:pPr>
        <w:spacing w:before="19" w:after="0" w:line="139" w:lineRule="atLeast"/>
        <w:ind w:hanging="446"/>
        <w:rPr>
          <w:rFonts w:ascii="Arial" w:eastAsia="Times New Roman" w:hAnsi="Arial" w:cs="Arial"/>
          <w:noProof w:val="0"/>
          <w:color w:val="000000"/>
          <w:sz w:val="24"/>
          <w:szCs w:val="24"/>
          <w:lang w:eastAsia="en-IN"/>
        </w:rPr>
      </w:pPr>
      <w:r w:rsidRPr="0062796D">
        <w:rPr>
          <w:rFonts w:ascii="Wingdings" w:eastAsia="Times New Roman" w:hAnsi="Wingdings" w:cs="Arial"/>
          <w:noProof w:val="0"/>
          <w:color w:val="000000"/>
          <w:sz w:val="24"/>
          <w:szCs w:val="24"/>
          <w:lang w:eastAsia="en-IN"/>
        </w:rPr>
        <w:sym w:font="Wingdings" w:char="F0D8"/>
      </w:r>
      <w:r w:rsidRPr="0062796D">
        <w:rPr>
          <w:rFonts w:ascii="Arial" w:eastAsia="Times New Roman" w:hAnsi="Arial" w:cs="Arial"/>
          <w:noProof w:val="0"/>
          <w:color w:val="000000"/>
          <w:sz w:val="24"/>
          <w:szCs w:val="24"/>
          <w:lang w:eastAsia="en-IN"/>
        </w:rPr>
        <w:t>Report on implementation of accounting standards in Educational Institutions of Department of Higher Education, Ministry of Human Resource Development dated Jan 18, 2012.</w:t>
      </w:r>
    </w:p>
    <w:p w14:paraId="7A477418" w14:textId="77777777" w:rsidR="009B01C3" w:rsidRPr="0062796D" w:rsidRDefault="009B01C3" w:rsidP="009B01C3">
      <w:pPr>
        <w:spacing w:before="9" w:after="0" w:line="139" w:lineRule="atLeast"/>
        <w:rPr>
          <w:rFonts w:ascii="Arial" w:eastAsia="Times New Roman" w:hAnsi="Arial" w:cs="Arial"/>
          <w:noProof w:val="0"/>
          <w:color w:val="000000"/>
          <w:sz w:val="24"/>
          <w:szCs w:val="24"/>
          <w:lang w:eastAsia="en-IN"/>
        </w:rPr>
      </w:pPr>
      <w:r w:rsidRPr="0062796D">
        <w:rPr>
          <w:rFonts w:ascii="Wingdings" w:eastAsia="Times New Roman" w:hAnsi="Wingdings" w:cs="Arial"/>
          <w:noProof w:val="0"/>
          <w:color w:val="000000"/>
          <w:sz w:val="24"/>
          <w:szCs w:val="24"/>
          <w:lang w:eastAsia="en-IN"/>
        </w:rPr>
        <w:sym w:font="Wingdings" w:char="F0D8"/>
      </w:r>
      <w:r w:rsidRPr="0062796D">
        <w:rPr>
          <w:rFonts w:ascii="Arial" w:eastAsia="Times New Roman" w:hAnsi="Arial" w:cs="Arial"/>
          <w:noProof w:val="0"/>
          <w:color w:val="000000"/>
          <w:sz w:val="24"/>
          <w:szCs w:val="24"/>
          <w:lang w:eastAsia="en-IN"/>
        </w:rPr>
        <w:t>http://mhrd.gov.in/sites/upload_files/mhrd/files/statistics/AISHE2015-16.pdf</w:t>
      </w:r>
    </w:p>
    <w:p w14:paraId="1AD80F3B" w14:textId="77777777" w:rsidR="0062796D" w:rsidRPr="0062796D" w:rsidRDefault="0062796D" w:rsidP="00F05016">
      <w:pPr>
        <w:adjustRightInd w:val="0"/>
        <w:spacing w:after="0" w:line="240" w:lineRule="auto"/>
        <w:jc w:val="center"/>
        <w:rPr>
          <w:b/>
          <w:bCs/>
          <w:sz w:val="24"/>
          <w:szCs w:val="24"/>
        </w:rPr>
      </w:pPr>
    </w:p>
    <w:p w14:paraId="52CD2096" w14:textId="77777777" w:rsidR="00F12257" w:rsidRPr="00401E69" w:rsidRDefault="00F12257" w:rsidP="00F12257">
      <w:pPr>
        <w:pStyle w:val="ListParagraph"/>
        <w:adjustRightInd w:val="0"/>
        <w:spacing w:after="0" w:line="240" w:lineRule="auto"/>
        <w:jc w:val="right"/>
        <w:rPr>
          <w:rFonts w:ascii="Times New Roman" w:hAnsi="Times New Roman" w:cs="Times New Roman"/>
          <w:b/>
          <w:bCs/>
          <w:sz w:val="28"/>
          <w:szCs w:val="28"/>
        </w:rPr>
      </w:pPr>
      <w:proofErr w:type="spellStart"/>
      <w:r w:rsidRPr="00401E69">
        <w:rPr>
          <w:rFonts w:ascii="Times New Roman" w:hAnsi="Times New Roman" w:cs="Times New Roman"/>
          <w:b/>
          <w:bCs/>
          <w:sz w:val="28"/>
          <w:szCs w:val="28"/>
        </w:rPr>
        <w:t>Dr.</w:t>
      </w:r>
      <w:proofErr w:type="spellEnd"/>
      <w:r w:rsidRPr="00401E69">
        <w:rPr>
          <w:rFonts w:ascii="Times New Roman" w:hAnsi="Times New Roman" w:cs="Times New Roman"/>
          <w:b/>
          <w:bCs/>
          <w:sz w:val="28"/>
          <w:szCs w:val="28"/>
        </w:rPr>
        <w:t xml:space="preserve"> </w:t>
      </w:r>
      <w:proofErr w:type="spellStart"/>
      <w:r w:rsidRPr="00401E69">
        <w:rPr>
          <w:rFonts w:ascii="Times New Roman" w:hAnsi="Times New Roman" w:cs="Times New Roman"/>
          <w:b/>
          <w:bCs/>
          <w:sz w:val="28"/>
          <w:szCs w:val="28"/>
        </w:rPr>
        <w:t>Bachha</w:t>
      </w:r>
      <w:proofErr w:type="spellEnd"/>
      <w:r w:rsidRPr="00401E69">
        <w:rPr>
          <w:rFonts w:ascii="Times New Roman" w:hAnsi="Times New Roman" w:cs="Times New Roman"/>
          <w:b/>
          <w:bCs/>
          <w:sz w:val="28"/>
          <w:szCs w:val="28"/>
        </w:rPr>
        <w:t xml:space="preserve"> Kumar </w:t>
      </w:r>
      <w:proofErr w:type="spellStart"/>
      <w:r w:rsidRPr="00401E69">
        <w:rPr>
          <w:rFonts w:ascii="Times New Roman" w:hAnsi="Times New Roman" w:cs="Times New Roman"/>
          <w:b/>
          <w:bCs/>
          <w:sz w:val="28"/>
          <w:szCs w:val="28"/>
        </w:rPr>
        <w:t>Rajak</w:t>
      </w:r>
      <w:proofErr w:type="spellEnd"/>
    </w:p>
    <w:p w14:paraId="2268009F" w14:textId="77777777" w:rsidR="00F12257" w:rsidRDefault="00F12257" w:rsidP="00F12257">
      <w:pPr>
        <w:adjustRightInd w:val="0"/>
        <w:spacing w:after="0" w:line="240" w:lineRule="auto"/>
        <w:ind w:left="360"/>
        <w:jc w:val="right"/>
        <w:rPr>
          <w:rFonts w:ascii="Times New Roman" w:hAnsi="Times New Roman" w:cs="Times New Roman"/>
          <w:sz w:val="28"/>
          <w:szCs w:val="28"/>
        </w:rPr>
      </w:pPr>
      <w:r>
        <w:rPr>
          <w:rFonts w:ascii="Times New Roman" w:hAnsi="Times New Roman" w:cs="Times New Roman"/>
          <w:b/>
          <w:bCs/>
          <w:sz w:val="24"/>
          <w:szCs w:val="24"/>
        </w:rPr>
        <w:t>Assistant Professor (GT)</w:t>
      </w:r>
    </w:p>
    <w:p w14:paraId="0AEC9D58" w14:textId="77777777" w:rsidR="00F12257" w:rsidRPr="00401E69" w:rsidRDefault="00F12257" w:rsidP="00F12257">
      <w:pPr>
        <w:adjustRightInd w:val="0"/>
        <w:spacing w:after="0" w:line="240" w:lineRule="auto"/>
        <w:ind w:left="360"/>
        <w:jc w:val="right"/>
        <w:rPr>
          <w:rFonts w:ascii="Times New Roman" w:hAnsi="Times New Roman" w:cs="Times New Roman"/>
          <w:b/>
          <w:bCs/>
          <w:sz w:val="28"/>
          <w:szCs w:val="28"/>
        </w:rPr>
      </w:pPr>
      <w:r w:rsidRPr="00401E69">
        <w:rPr>
          <w:rFonts w:ascii="Times New Roman" w:hAnsi="Times New Roman" w:cs="Times New Roman"/>
          <w:sz w:val="28"/>
          <w:szCs w:val="28"/>
        </w:rPr>
        <w:t>Department of Commerce</w:t>
      </w:r>
    </w:p>
    <w:p w14:paraId="325CFAAF" w14:textId="77777777" w:rsidR="00F12257" w:rsidRPr="00401E69" w:rsidRDefault="00F12257" w:rsidP="00F12257">
      <w:pPr>
        <w:adjustRightInd w:val="0"/>
        <w:spacing w:after="0" w:line="240" w:lineRule="auto"/>
        <w:ind w:left="360"/>
        <w:jc w:val="right"/>
        <w:rPr>
          <w:rFonts w:ascii="Times New Roman" w:hAnsi="Times New Roman" w:cs="Times New Roman"/>
          <w:b/>
          <w:bCs/>
          <w:sz w:val="28"/>
          <w:szCs w:val="28"/>
        </w:rPr>
      </w:pPr>
      <w:r w:rsidRPr="00401E69">
        <w:rPr>
          <w:rFonts w:ascii="Times New Roman" w:hAnsi="Times New Roman" w:cs="Times New Roman"/>
          <w:sz w:val="24"/>
          <w:szCs w:val="24"/>
        </w:rPr>
        <w:t>Bharati Mandan College ,Rahika</w:t>
      </w:r>
    </w:p>
    <w:p w14:paraId="3409CA84" w14:textId="77777777" w:rsidR="00F12257" w:rsidRPr="00401E69" w:rsidRDefault="00F12257" w:rsidP="00F12257">
      <w:pPr>
        <w:widowControl w:val="0"/>
        <w:autoSpaceDE w:val="0"/>
        <w:autoSpaceDN w:val="0"/>
        <w:adjustRightInd w:val="0"/>
        <w:spacing w:after="0" w:line="240" w:lineRule="auto"/>
        <w:ind w:left="360"/>
        <w:jc w:val="right"/>
        <w:rPr>
          <w:rFonts w:ascii="Times New Roman" w:hAnsi="Times New Roman" w:cs="Times New Roman"/>
          <w:sz w:val="24"/>
          <w:szCs w:val="24"/>
        </w:rPr>
      </w:pPr>
      <w:r w:rsidRPr="00401E69">
        <w:rPr>
          <w:rFonts w:ascii="Times New Roman" w:hAnsi="Times New Roman" w:cs="Times New Roman"/>
          <w:sz w:val="24"/>
          <w:szCs w:val="24"/>
        </w:rPr>
        <w:t>L.N.M.U., DARBHANGA (BIHAR) INDIA)</w:t>
      </w:r>
    </w:p>
    <w:p w14:paraId="76AAF39B" w14:textId="77777777" w:rsidR="00F12257" w:rsidRPr="00401E69" w:rsidRDefault="00F12257" w:rsidP="00F12257">
      <w:pPr>
        <w:spacing w:after="0" w:line="240" w:lineRule="auto"/>
        <w:ind w:left="360"/>
        <w:jc w:val="right"/>
        <w:rPr>
          <w:rFonts w:ascii="Times New Roman" w:eastAsia="Times New Roman" w:hAnsi="Times New Roman" w:cs="Times New Roman"/>
          <w:b/>
          <w:bCs/>
          <w:color w:val="000000"/>
          <w:sz w:val="20"/>
        </w:rPr>
      </w:pPr>
      <w:r w:rsidRPr="00401E69">
        <w:rPr>
          <w:rFonts w:ascii="Times New Roman" w:eastAsia="Times New Roman" w:hAnsi="Times New Roman" w:cs="Times New Roman"/>
          <w:b/>
          <w:bCs/>
          <w:color w:val="000000"/>
          <w:sz w:val="20"/>
        </w:rPr>
        <w:t>Email:-bachharajak@gmail.com</w:t>
      </w:r>
    </w:p>
    <w:p w14:paraId="1750705B" w14:textId="77777777" w:rsidR="00F12257" w:rsidRPr="00401E69" w:rsidRDefault="00F12257" w:rsidP="00F12257">
      <w:pPr>
        <w:spacing w:after="0" w:line="240" w:lineRule="auto"/>
        <w:ind w:left="360"/>
        <w:jc w:val="right"/>
        <w:rPr>
          <w:rFonts w:ascii="Times New Roman" w:eastAsia="Times New Roman" w:hAnsi="Times New Roman" w:cs="Times New Roman"/>
          <w:b/>
          <w:bCs/>
          <w:color w:val="000000"/>
          <w:sz w:val="20"/>
        </w:rPr>
      </w:pPr>
      <w:r w:rsidRPr="00401E69">
        <w:rPr>
          <w:rFonts w:ascii="Times New Roman" w:eastAsia="Times New Roman" w:hAnsi="Times New Roman" w:cs="Times New Roman"/>
          <w:b/>
          <w:bCs/>
          <w:color w:val="000000"/>
          <w:sz w:val="20"/>
        </w:rPr>
        <w:t>Mobail:-9931663751,9431018858</w:t>
      </w:r>
    </w:p>
    <w:p w14:paraId="338B923E" w14:textId="72AF86A3" w:rsidR="003F33F5" w:rsidRPr="0062796D" w:rsidRDefault="003F33F5" w:rsidP="00F12257">
      <w:pPr>
        <w:adjustRightInd w:val="0"/>
        <w:spacing w:after="0" w:line="240" w:lineRule="auto"/>
        <w:jc w:val="center"/>
        <w:rPr>
          <w:b/>
          <w:bCs/>
          <w:sz w:val="24"/>
          <w:szCs w:val="24"/>
        </w:rPr>
      </w:pPr>
    </w:p>
    <w:sectPr w:rsidR="003F33F5" w:rsidRPr="0062796D" w:rsidSect="003F3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C3"/>
    <w:rsid w:val="000539C0"/>
    <w:rsid w:val="00104625"/>
    <w:rsid w:val="001B721B"/>
    <w:rsid w:val="003F33F5"/>
    <w:rsid w:val="004631E5"/>
    <w:rsid w:val="00534DDD"/>
    <w:rsid w:val="00576242"/>
    <w:rsid w:val="0062796D"/>
    <w:rsid w:val="009B01C3"/>
    <w:rsid w:val="00AB5E31"/>
    <w:rsid w:val="00CD1ACA"/>
    <w:rsid w:val="00D10035"/>
    <w:rsid w:val="00F05016"/>
    <w:rsid w:val="00F12257"/>
    <w:rsid w:val="00F307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F5"/>
    <w:rPr>
      <w:noProof/>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
    <w:name w:val="p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
    <w:name w:val="p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
    <w:name w:val="p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
    <w:name w:val="p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4">
    <w:name w:val="ft4"/>
    <w:basedOn w:val="DefaultParagraphFont"/>
    <w:rsid w:val="009B01C3"/>
  </w:style>
  <w:style w:type="paragraph" w:customStyle="1" w:styleId="p5">
    <w:name w:val="p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
    <w:name w:val="p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
    <w:name w:val="p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8">
    <w:name w:val="p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9">
    <w:name w:val="p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10">
    <w:name w:val="ft10"/>
    <w:basedOn w:val="DefaultParagraphFont"/>
    <w:rsid w:val="009B01C3"/>
  </w:style>
  <w:style w:type="paragraph" w:customStyle="1" w:styleId="p10">
    <w:name w:val="p1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1">
    <w:name w:val="p1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2">
    <w:name w:val="p1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3">
    <w:name w:val="p1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11">
    <w:name w:val="ft11"/>
    <w:basedOn w:val="DefaultParagraphFont"/>
    <w:rsid w:val="009B01C3"/>
  </w:style>
  <w:style w:type="character" w:customStyle="1" w:styleId="ft12">
    <w:name w:val="ft12"/>
    <w:basedOn w:val="DefaultParagraphFont"/>
    <w:rsid w:val="009B01C3"/>
  </w:style>
  <w:style w:type="paragraph" w:customStyle="1" w:styleId="p14">
    <w:name w:val="p1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5">
    <w:name w:val="p1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6">
    <w:name w:val="p1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7">
    <w:name w:val="p1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14">
    <w:name w:val="ft14"/>
    <w:basedOn w:val="DefaultParagraphFont"/>
    <w:rsid w:val="009B01C3"/>
  </w:style>
  <w:style w:type="paragraph" w:customStyle="1" w:styleId="p18">
    <w:name w:val="p1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9">
    <w:name w:val="p1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0">
    <w:name w:val="p2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1">
    <w:name w:val="p2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2">
    <w:name w:val="p2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3">
    <w:name w:val="p2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4">
    <w:name w:val="p2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21">
    <w:name w:val="ft21"/>
    <w:basedOn w:val="DefaultParagraphFont"/>
    <w:rsid w:val="009B01C3"/>
  </w:style>
  <w:style w:type="paragraph" w:customStyle="1" w:styleId="p25">
    <w:name w:val="p2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6">
    <w:name w:val="p2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7">
    <w:name w:val="p2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8">
    <w:name w:val="p2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9">
    <w:name w:val="p2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0">
    <w:name w:val="p3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1">
    <w:name w:val="p3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2">
    <w:name w:val="p3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3">
    <w:name w:val="p3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4">
    <w:name w:val="p3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5">
    <w:name w:val="p3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6">
    <w:name w:val="p3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7">
    <w:name w:val="p3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8">
    <w:name w:val="p3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9">
    <w:name w:val="p3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0">
    <w:name w:val="p4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1">
    <w:name w:val="p4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2">
    <w:name w:val="p4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3">
    <w:name w:val="p4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4">
    <w:name w:val="p4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5">
    <w:name w:val="p4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6">
    <w:name w:val="p4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7">
    <w:name w:val="p4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8">
    <w:name w:val="p4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9">
    <w:name w:val="p4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0">
    <w:name w:val="p5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1">
    <w:name w:val="p5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2">
    <w:name w:val="p5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9">
    <w:name w:val="ft9"/>
    <w:basedOn w:val="DefaultParagraphFont"/>
    <w:rsid w:val="009B01C3"/>
  </w:style>
  <w:style w:type="paragraph" w:customStyle="1" w:styleId="p53">
    <w:name w:val="p5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4">
    <w:name w:val="p5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5">
    <w:name w:val="p5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24">
    <w:name w:val="ft24"/>
    <w:basedOn w:val="DefaultParagraphFont"/>
    <w:rsid w:val="009B01C3"/>
  </w:style>
  <w:style w:type="character" w:customStyle="1" w:styleId="ft25">
    <w:name w:val="ft25"/>
    <w:basedOn w:val="DefaultParagraphFont"/>
    <w:rsid w:val="009B01C3"/>
  </w:style>
  <w:style w:type="character" w:customStyle="1" w:styleId="ft26">
    <w:name w:val="ft26"/>
    <w:basedOn w:val="DefaultParagraphFont"/>
    <w:rsid w:val="009B01C3"/>
  </w:style>
  <w:style w:type="character" w:customStyle="1" w:styleId="ft27">
    <w:name w:val="ft27"/>
    <w:basedOn w:val="DefaultParagraphFont"/>
    <w:rsid w:val="009B01C3"/>
  </w:style>
  <w:style w:type="character" w:customStyle="1" w:styleId="ft28">
    <w:name w:val="ft28"/>
    <w:basedOn w:val="DefaultParagraphFont"/>
    <w:rsid w:val="009B01C3"/>
  </w:style>
  <w:style w:type="paragraph" w:customStyle="1" w:styleId="p56">
    <w:name w:val="p5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7">
    <w:name w:val="p5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8">
    <w:name w:val="p5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9">
    <w:name w:val="p5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0">
    <w:name w:val="p6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1">
    <w:name w:val="p6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20">
    <w:name w:val="ft20"/>
    <w:basedOn w:val="DefaultParagraphFont"/>
    <w:rsid w:val="009B01C3"/>
  </w:style>
  <w:style w:type="paragraph" w:customStyle="1" w:styleId="p62">
    <w:name w:val="p6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19">
    <w:name w:val="ft19"/>
    <w:basedOn w:val="DefaultParagraphFont"/>
    <w:rsid w:val="009B01C3"/>
  </w:style>
  <w:style w:type="paragraph" w:customStyle="1" w:styleId="p63">
    <w:name w:val="p6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34">
    <w:name w:val="ft34"/>
    <w:basedOn w:val="DefaultParagraphFont"/>
    <w:rsid w:val="009B01C3"/>
  </w:style>
  <w:style w:type="paragraph" w:customStyle="1" w:styleId="p64">
    <w:name w:val="p6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5">
    <w:name w:val="p6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6">
    <w:name w:val="p6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7">
    <w:name w:val="p6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8">
    <w:name w:val="p6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9">
    <w:name w:val="p6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0">
    <w:name w:val="p7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1">
    <w:name w:val="p7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2">
    <w:name w:val="p7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13">
    <w:name w:val="ft13"/>
    <w:basedOn w:val="DefaultParagraphFont"/>
    <w:rsid w:val="009B01C3"/>
  </w:style>
  <w:style w:type="character" w:customStyle="1" w:styleId="ft37">
    <w:name w:val="ft37"/>
    <w:basedOn w:val="DefaultParagraphFont"/>
    <w:rsid w:val="009B01C3"/>
  </w:style>
  <w:style w:type="paragraph" w:customStyle="1" w:styleId="p73">
    <w:name w:val="p7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4">
    <w:name w:val="p7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5">
    <w:name w:val="p7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6">
    <w:name w:val="p7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7">
    <w:name w:val="p7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8">
    <w:name w:val="p7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9">
    <w:name w:val="p7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38">
    <w:name w:val="ft38"/>
    <w:basedOn w:val="DefaultParagraphFont"/>
    <w:rsid w:val="009B01C3"/>
  </w:style>
  <w:style w:type="character" w:customStyle="1" w:styleId="ft39">
    <w:name w:val="ft39"/>
    <w:basedOn w:val="DefaultParagraphFont"/>
    <w:rsid w:val="009B01C3"/>
  </w:style>
  <w:style w:type="paragraph" w:customStyle="1" w:styleId="p80">
    <w:name w:val="p8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81">
    <w:name w:val="p8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82">
    <w:name w:val="p8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40">
    <w:name w:val="ft40"/>
    <w:basedOn w:val="DefaultParagraphFont"/>
    <w:rsid w:val="009B01C3"/>
  </w:style>
  <w:style w:type="paragraph" w:customStyle="1" w:styleId="p83">
    <w:name w:val="p8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84">
    <w:name w:val="p8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85">
    <w:name w:val="p8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86">
    <w:name w:val="p8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87">
    <w:name w:val="p8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6">
    <w:name w:val="ft6"/>
    <w:basedOn w:val="DefaultParagraphFont"/>
    <w:rsid w:val="009B01C3"/>
  </w:style>
  <w:style w:type="paragraph" w:customStyle="1" w:styleId="p88">
    <w:name w:val="p8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41">
    <w:name w:val="ft41"/>
    <w:basedOn w:val="DefaultParagraphFont"/>
    <w:rsid w:val="009B01C3"/>
  </w:style>
  <w:style w:type="character" w:customStyle="1" w:styleId="ft42">
    <w:name w:val="ft42"/>
    <w:basedOn w:val="DefaultParagraphFont"/>
    <w:rsid w:val="009B01C3"/>
  </w:style>
  <w:style w:type="paragraph" w:customStyle="1" w:styleId="p89">
    <w:name w:val="p8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90">
    <w:name w:val="p9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91">
    <w:name w:val="p9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92">
    <w:name w:val="p9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93">
    <w:name w:val="p9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styleId="ListParagraph">
    <w:name w:val="List Paragraph"/>
    <w:basedOn w:val="Normal"/>
    <w:uiPriority w:val="34"/>
    <w:qFormat/>
    <w:rsid w:val="00F12257"/>
    <w:pPr>
      <w:spacing w:after="160" w:line="259" w:lineRule="auto"/>
      <w:ind w:left="720"/>
      <w:contextualSpacing/>
    </w:pPr>
    <w:rPr>
      <w:rFonts w:cs="Mangal"/>
      <w:noProof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F5"/>
    <w:rPr>
      <w:noProof/>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
    <w:name w:val="p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
    <w:name w:val="p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
    <w:name w:val="p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
    <w:name w:val="p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4">
    <w:name w:val="ft4"/>
    <w:basedOn w:val="DefaultParagraphFont"/>
    <w:rsid w:val="009B01C3"/>
  </w:style>
  <w:style w:type="paragraph" w:customStyle="1" w:styleId="p5">
    <w:name w:val="p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
    <w:name w:val="p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
    <w:name w:val="p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8">
    <w:name w:val="p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9">
    <w:name w:val="p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10">
    <w:name w:val="ft10"/>
    <w:basedOn w:val="DefaultParagraphFont"/>
    <w:rsid w:val="009B01C3"/>
  </w:style>
  <w:style w:type="paragraph" w:customStyle="1" w:styleId="p10">
    <w:name w:val="p1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1">
    <w:name w:val="p1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2">
    <w:name w:val="p1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3">
    <w:name w:val="p1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11">
    <w:name w:val="ft11"/>
    <w:basedOn w:val="DefaultParagraphFont"/>
    <w:rsid w:val="009B01C3"/>
  </w:style>
  <w:style w:type="character" w:customStyle="1" w:styleId="ft12">
    <w:name w:val="ft12"/>
    <w:basedOn w:val="DefaultParagraphFont"/>
    <w:rsid w:val="009B01C3"/>
  </w:style>
  <w:style w:type="paragraph" w:customStyle="1" w:styleId="p14">
    <w:name w:val="p1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5">
    <w:name w:val="p1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6">
    <w:name w:val="p1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7">
    <w:name w:val="p1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14">
    <w:name w:val="ft14"/>
    <w:basedOn w:val="DefaultParagraphFont"/>
    <w:rsid w:val="009B01C3"/>
  </w:style>
  <w:style w:type="paragraph" w:customStyle="1" w:styleId="p18">
    <w:name w:val="p1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19">
    <w:name w:val="p1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0">
    <w:name w:val="p2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1">
    <w:name w:val="p2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2">
    <w:name w:val="p2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3">
    <w:name w:val="p2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4">
    <w:name w:val="p2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21">
    <w:name w:val="ft21"/>
    <w:basedOn w:val="DefaultParagraphFont"/>
    <w:rsid w:val="009B01C3"/>
  </w:style>
  <w:style w:type="paragraph" w:customStyle="1" w:styleId="p25">
    <w:name w:val="p2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6">
    <w:name w:val="p2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7">
    <w:name w:val="p2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8">
    <w:name w:val="p2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29">
    <w:name w:val="p2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0">
    <w:name w:val="p3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1">
    <w:name w:val="p3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2">
    <w:name w:val="p3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3">
    <w:name w:val="p3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4">
    <w:name w:val="p3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5">
    <w:name w:val="p3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6">
    <w:name w:val="p3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7">
    <w:name w:val="p3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8">
    <w:name w:val="p3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39">
    <w:name w:val="p3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0">
    <w:name w:val="p4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1">
    <w:name w:val="p4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2">
    <w:name w:val="p4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3">
    <w:name w:val="p4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4">
    <w:name w:val="p4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5">
    <w:name w:val="p4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6">
    <w:name w:val="p4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7">
    <w:name w:val="p4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8">
    <w:name w:val="p4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49">
    <w:name w:val="p4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0">
    <w:name w:val="p5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1">
    <w:name w:val="p5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2">
    <w:name w:val="p5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9">
    <w:name w:val="ft9"/>
    <w:basedOn w:val="DefaultParagraphFont"/>
    <w:rsid w:val="009B01C3"/>
  </w:style>
  <w:style w:type="paragraph" w:customStyle="1" w:styleId="p53">
    <w:name w:val="p5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4">
    <w:name w:val="p5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5">
    <w:name w:val="p5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24">
    <w:name w:val="ft24"/>
    <w:basedOn w:val="DefaultParagraphFont"/>
    <w:rsid w:val="009B01C3"/>
  </w:style>
  <w:style w:type="character" w:customStyle="1" w:styleId="ft25">
    <w:name w:val="ft25"/>
    <w:basedOn w:val="DefaultParagraphFont"/>
    <w:rsid w:val="009B01C3"/>
  </w:style>
  <w:style w:type="character" w:customStyle="1" w:styleId="ft26">
    <w:name w:val="ft26"/>
    <w:basedOn w:val="DefaultParagraphFont"/>
    <w:rsid w:val="009B01C3"/>
  </w:style>
  <w:style w:type="character" w:customStyle="1" w:styleId="ft27">
    <w:name w:val="ft27"/>
    <w:basedOn w:val="DefaultParagraphFont"/>
    <w:rsid w:val="009B01C3"/>
  </w:style>
  <w:style w:type="character" w:customStyle="1" w:styleId="ft28">
    <w:name w:val="ft28"/>
    <w:basedOn w:val="DefaultParagraphFont"/>
    <w:rsid w:val="009B01C3"/>
  </w:style>
  <w:style w:type="paragraph" w:customStyle="1" w:styleId="p56">
    <w:name w:val="p5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7">
    <w:name w:val="p5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8">
    <w:name w:val="p5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59">
    <w:name w:val="p5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0">
    <w:name w:val="p6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1">
    <w:name w:val="p6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20">
    <w:name w:val="ft20"/>
    <w:basedOn w:val="DefaultParagraphFont"/>
    <w:rsid w:val="009B01C3"/>
  </w:style>
  <w:style w:type="paragraph" w:customStyle="1" w:styleId="p62">
    <w:name w:val="p6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19">
    <w:name w:val="ft19"/>
    <w:basedOn w:val="DefaultParagraphFont"/>
    <w:rsid w:val="009B01C3"/>
  </w:style>
  <w:style w:type="paragraph" w:customStyle="1" w:styleId="p63">
    <w:name w:val="p6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34">
    <w:name w:val="ft34"/>
    <w:basedOn w:val="DefaultParagraphFont"/>
    <w:rsid w:val="009B01C3"/>
  </w:style>
  <w:style w:type="paragraph" w:customStyle="1" w:styleId="p64">
    <w:name w:val="p6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5">
    <w:name w:val="p6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6">
    <w:name w:val="p6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7">
    <w:name w:val="p6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8">
    <w:name w:val="p6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69">
    <w:name w:val="p6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0">
    <w:name w:val="p7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1">
    <w:name w:val="p7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2">
    <w:name w:val="p7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13">
    <w:name w:val="ft13"/>
    <w:basedOn w:val="DefaultParagraphFont"/>
    <w:rsid w:val="009B01C3"/>
  </w:style>
  <w:style w:type="character" w:customStyle="1" w:styleId="ft37">
    <w:name w:val="ft37"/>
    <w:basedOn w:val="DefaultParagraphFont"/>
    <w:rsid w:val="009B01C3"/>
  </w:style>
  <w:style w:type="paragraph" w:customStyle="1" w:styleId="p73">
    <w:name w:val="p7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4">
    <w:name w:val="p7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5">
    <w:name w:val="p7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6">
    <w:name w:val="p7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7">
    <w:name w:val="p7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8">
    <w:name w:val="p7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79">
    <w:name w:val="p7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38">
    <w:name w:val="ft38"/>
    <w:basedOn w:val="DefaultParagraphFont"/>
    <w:rsid w:val="009B01C3"/>
  </w:style>
  <w:style w:type="character" w:customStyle="1" w:styleId="ft39">
    <w:name w:val="ft39"/>
    <w:basedOn w:val="DefaultParagraphFont"/>
    <w:rsid w:val="009B01C3"/>
  </w:style>
  <w:style w:type="paragraph" w:customStyle="1" w:styleId="p80">
    <w:name w:val="p8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81">
    <w:name w:val="p8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82">
    <w:name w:val="p8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40">
    <w:name w:val="ft40"/>
    <w:basedOn w:val="DefaultParagraphFont"/>
    <w:rsid w:val="009B01C3"/>
  </w:style>
  <w:style w:type="paragraph" w:customStyle="1" w:styleId="p83">
    <w:name w:val="p8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84">
    <w:name w:val="p84"/>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85">
    <w:name w:val="p85"/>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86">
    <w:name w:val="p86"/>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87">
    <w:name w:val="p87"/>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6">
    <w:name w:val="ft6"/>
    <w:basedOn w:val="DefaultParagraphFont"/>
    <w:rsid w:val="009B01C3"/>
  </w:style>
  <w:style w:type="paragraph" w:customStyle="1" w:styleId="p88">
    <w:name w:val="p88"/>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character" w:customStyle="1" w:styleId="ft41">
    <w:name w:val="ft41"/>
    <w:basedOn w:val="DefaultParagraphFont"/>
    <w:rsid w:val="009B01C3"/>
  </w:style>
  <w:style w:type="character" w:customStyle="1" w:styleId="ft42">
    <w:name w:val="ft42"/>
    <w:basedOn w:val="DefaultParagraphFont"/>
    <w:rsid w:val="009B01C3"/>
  </w:style>
  <w:style w:type="paragraph" w:customStyle="1" w:styleId="p89">
    <w:name w:val="p89"/>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90">
    <w:name w:val="p90"/>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91">
    <w:name w:val="p91"/>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92">
    <w:name w:val="p92"/>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customStyle="1" w:styleId="p93">
    <w:name w:val="p93"/>
    <w:basedOn w:val="Normal"/>
    <w:rsid w:val="009B01C3"/>
    <w:pPr>
      <w:spacing w:before="100" w:beforeAutospacing="1" w:after="100" w:afterAutospacing="1" w:line="240" w:lineRule="auto"/>
    </w:pPr>
    <w:rPr>
      <w:rFonts w:ascii="Times New Roman" w:eastAsia="Times New Roman" w:hAnsi="Times New Roman" w:cs="Times New Roman"/>
      <w:noProof w:val="0"/>
      <w:sz w:val="24"/>
      <w:szCs w:val="24"/>
      <w:lang w:eastAsia="en-IN"/>
    </w:rPr>
  </w:style>
  <w:style w:type="paragraph" w:styleId="ListParagraph">
    <w:name w:val="List Paragraph"/>
    <w:basedOn w:val="Normal"/>
    <w:uiPriority w:val="34"/>
    <w:qFormat/>
    <w:rsid w:val="00F12257"/>
    <w:pPr>
      <w:spacing w:after="160" w:line="259" w:lineRule="auto"/>
      <w:ind w:left="720"/>
      <w:contextualSpacing/>
    </w:pPr>
    <w:rPr>
      <w:rFonts w:cs="Mangal"/>
      <w:noProof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36178">
      <w:bodyDiv w:val="1"/>
      <w:marLeft w:val="0"/>
      <w:marRight w:val="0"/>
      <w:marTop w:val="0"/>
      <w:marBottom w:val="0"/>
      <w:divBdr>
        <w:top w:val="none" w:sz="0" w:space="0" w:color="auto"/>
        <w:left w:val="none" w:sz="0" w:space="0" w:color="auto"/>
        <w:bottom w:val="none" w:sz="0" w:space="0" w:color="auto"/>
        <w:right w:val="none" w:sz="0" w:space="0" w:color="auto"/>
      </w:divBdr>
    </w:div>
    <w:div w:id="887642471">
      <w:bodyDiv w:val="1"/>
      <w:marLeft w:val="0"/>
      <w:marRight w:val="0"/>
      <w:marTop w:val="0"/>
      <w:marBottom w:val="0"/>
      <w:divBdr>
        <w:top w:val="none" w:sz="0" w:space="0" w:color="auto"/>
        <w:left w:val="none" w:sz="0" w:space="0" w:color="auto"/>
        <w:bottom w:val="none" w:sz="0" w:space="0" w:color="auto"/>
        <w:right w:val="none" w:sz="0" w:space="0" w:color="auto"/>
      </w:divBdr>
    </w:div>
    <w:div w:id="1618365879">
      <w:bodyDiv w:val="1"/>
      <w:marLeft w:val="0"/>
      <w:marRight w:val="0"/>
      <w:marTop w:val="0"/>
      <w:marBottom w:val="0"/>
      <w:divBdr>
        <w:top w:val="none" w:sz="0" w:space="0" w:color="auto"/>
        <w:left w:val="none" w:sz="0" w:space="0" w:color="auto"/>
        <w:bottom w:val="none" w:sz="0" w:space="0" w:color="auto"/>
        <w:right w:val="none" w:sz="0" w:space="0" w:color="auto"/>
      </w:divBdr>
      <w:divsChild>
        <w:div w:id="76562094">
          <w:marLeft w:val="1087"/>
          <w:marRight w:val="0"/>
          <w:marTop w:val="1301"/>
          <w:marBottom w:val="1598"/>
          <w:divBdr>
            <w:top w:val="none" w:sz="0" w:space="0" w:color="auto"/>
            <w:left w:val="none" w:sz="0" w:space="0" w:color="auto"/>
            <w:bottom w:val="none" w:sz="0" w:space="0" w:color="auto"/>
            <w:right w:val="none" w:sz="0" w:space="0" w:color="auto"/>
          </w:divBdr>
        </w:div>
        <w:div w:id="1786775939">
          <w:marLeft w:val="1087"/>
          <w:marRight w:val="0"/>
          <w:marTop w:val="1329"/>
          <w:marBottom w:val="1589"/>
          <w:divBdr>
            <w:top w:val="none" w:sz="0" w:space="0" w:color="auto"/>
            <w:left w:val="none" w:sz="0" w:space="0" w:color="auto"/>
            <w:bottom w:val="none" w:sz="0" w:space="0" w:color="auto"/>
            <w:right w:val="none" w:sz="0" w:space="0" w:color="auto"/>
          </w:divBdr>
          <w:divsChild>
            <w:div w:id="958606298">
              <w:marLeft w:val="0"/>
              <w:marRight w:val="0"/>
              <w:marTop w:val="0"/>
              <w:marBottom w:val="0"/>
              <w:divBdr>
                <w:top w:val="none" w:sz="0" w:space="0" w:color="auto"/>
                <w:left w:val="none" w:sz="0" w:space="0" w:color="auto"/>
                <w:bottom w:val="none" w:sz="0" w:space="0" w:color="auto"/>
                <w:right w:val="none" w:sz="0" w:space="0" w:color="auto"/>
              </w:divBdr>
            </w:div>
          </w:divsChild>
        </w:div>
        <w:div w:id="915822903">
          <w:marLeft w:val="1087"/>
          <w:marRight w:val="0"/>
          <w:marTop w:val="1366"/>
          <w:marBottom w:val="1598"/>
          <w:divBdr>
            <w:top w:val="none" w:sz="0" w:space="0" w:color="auto"/>
            <w:left w:val="none" w:sz="0" w:space="0" w:color="auto"/>
            <w:bottom w:val="none" w:sz="0" w:space="0" w:color="auto"/>
            <w:right w:val="none" w:sz="0" w:space="0" w:color="auto"/>
          </w:divBdr>
          <w:divsChild>
            <w:div w:id="18822705">
              <w:marLeft w:val="0"/>
              <w:marRight w:val="0"/>
              <w:marTop w:val="0"/>
              <w:marBottom w:val="0"/>
              <w:divBdr>
                <w:top w:val="none" w:sz="0" w:space="0" w:color="auto"/>
                <w:left w:val="none" w:sz="0" w:space="0" w:color="auto"/>
                <w:bottom w:val="none" w:sz="0" w:space="0" w:color="auto"/>
                <w:right w:val="none" w:sz="0" w:space="0" w:color="auto"/>
              </w:divBdr>
            </w:div>
            <w:div w:id="2060738973">
              <w:marLeft w:val="0"/>
              <w:marRight w:val="0"/>
              <w:marTop w:val="0"/>
              <w:marBottom w:val="0"/>
              <w:divBdr>
                <w:top w:val="none" w:sz="0" w:space="0" w:color="auto"/>
                <w:left w:val="none" w:sz="0" w:space="0" w:color="auto"/>
                <w:bottom w:val="none" w:sz="0" w:space="0" w:color="auto"/>
                <w:right w:val="none" w:sz="0" w:space="0" w:color="auto"/>
              </w:divBdr>
            </w:div>
            <w:div w:id="1469784241">
              <w:marLeft w:val="0"/>
              <w:marRight w:val="0"/>
              <w:marTop w:val="381"/>
              <w:marBottom w:val="0"/>
              <w:divBdr>
                <w:top w:val="none" w:sz="0" w:space="0" w:color="auto"/>
                <w:left w:val="none" w:sz="0" w:space="0" w:color="auto"/>
                <w:bottom w:val="none" w:sz="0" w:space="0" w:color="auto"/>
                <w:right w:val="none" w:sz="0" w:space="0" w:color="auto"/>
              </w:divBdr>
            </w:div>
          </w:divsChild>
        </w:div>
        <w:div w:id="1906526167">
          <w:marLeft w:val="1087"/>
          <w:marRight w:val="0"/>
          <w:marTop w:val="1329"/>
          <w:marBottom w:val="1598"/>
          <w:divBdr>
            <w:top w:val="none" w:sz="0" w:space="0" w:color="auto"/>
            <w:left w:val="none" w:sz="0" w:space="0" w:color="auto"/>
            <w:bottom w:val="none" w:sz="0" w:space="0" w:color="auto"/>
            <w:right w:val="none" w:sz="0" w:space="0" w:color="auto"/>
          </w:divBdr>
          <w:divsChild>
            <w:div w:id="1101141553">
              <w:marLeft w:val="0"/>
              <w:marRight w:val="0"/>
              <w:marTop w:val="0"/>
              <w:marBottom w:val="0"/>
              <w:divBdr>
                <w:top w:val="none" w:sz="0" w:space="0" w:color="auto"/>
                <w:left w:val="none" w:sz="0" w:space="0" w:color="auto"/>
                <w:bottom w:val="none" w:sz="0" w:space="0" w:color="auto"/>
                <w:right w:val="none" w:sz="0" w:space="0" w:color="auto"/>
              </w:divBdr>
            </w:div>
          </w:divsChild>
        </w:div>
        <w:div w:id="1413091202">
          <w:marLeft w:val="1087"/>
          <w:marRight w:val="0"/>
          <w:marTop w:val="1366"/>
          <w:marBottom w:val="1719"/>
          <w:divBdr>
            <w:top w:val="none" w:sz="0" w:space="0" w:color="auto"/>
            <w:left w:val="none" w:sz="0" w:space="0" w:color="auto"/>
            <w:bottom w:val="none" w:sz="0" w:space="0" w:color="auto"/>
            <w:right w:val="none" w:sz="0" w:space="0" w:color="auto"/>
          </w:divBdr>
          <w:divsChild>
            <w:div w:id="288706731">
              <w:marLeft w:val="0"/>
              <w:marRight w:val="0"/>
              <w:marTop w:val="0"/>
              <w:marBottom w:val="0"/>
              <w:divBdr>
                <w:top w:val="none" w:sz="0" w:space="0" w:color="auto"/>
                <w:left w:val="none" w:sz="0" w:space="0" w:color="auto"/>
                <w:bottom w:val="none" w:sz="0" w:space="0" w:color="auto"/>
                <w:right w:val="none" w:sz="0" w:space="0" w:color="auto"/>
              </w:divBdr>
            </w:div>
          </w:divsChild>
        </w:div>
        <w:div w:id="450132261">
          <w:marLeft w:val="1087"/>
          <w:marRight w:val="0"/>
          <w:marTop w:val="1329"/>
          <w:marBottom w:val="1821"/>
          <w:divBdr>
            <w:top w:val="none" w:sz="0" w:space="0" w:color="auto"/>
            <w:left w:val="none" w:sz="0" w:space="0" w:color="auto"/>
            <w:bottom w:val="none" w:sz="0" w:space="0" w:color="auto"/>
            <w:right w:val="none" w:sz="0" w:space="0" w:color="auto"/>
          </w:divBdr>
          <w:divsChild>
            <w:div w:id="2080327682">
              <w:marLeft w:val="0"/>
              <w:marRight w:val="0"/>
              <w:marTop w:val="0"/>
              <w:marBottom w:val="0"/>
              <w:divBdr>
                <w:top w:val="none" w:sz="0" w:space="0" w:color="auto"/>
                <w:left w:val="none" w:sz="0" w:space="0" w:color="auto"/>
                <w:bottom w:val="none" w:sz="0" w:space="0" w:color="auto"/>
                <w:right w:val="none" w:sz="0" w:space="0" w:color="auto"/>
              </w:divBdr>
            </w:div>
          </w:divsChild>
        </w:div>
        <w:div w:id="470245702">
          <w:marLeft w:val="1087"/>
          <w:marRight w:val="0"/>
          <w:marTop w:val="1366"/>
          <w:marBottom w:val="64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bachhakumarrajak@gmail.com</cp:lastModifiedBy>
  <cp:revision>4</cp:revision>
  <dcterms:created xsi:type="dcterms:W3CDTF">2020-03-10T15:16:00Z</dcterms:created>
  <dcterms:modified xsi:type="dcterms:W3CDTF">2020-04-04T07:38:00Z</dcterms:modified>
</cp:coreProperties>
</file>